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803" w:rsidRDefault="00455D2D" w:rsidP="00E7142B">
      <w:pPr>
        <w:tabs>
          <w:tab w:val="left" w:pos="11907"/>
        </w:tabs>
        <w:spacing w:before="0" w:after="120"/>
      </w:pPr>
      <w:bookmarkStart w:id="0" w:name="_GoBack"/>
      <w:r>
        <w:rPr>
          <w:noProof/>
          <w:lang w:eastAsia="en-AU"/>
        </w:rPr>
        <w:drawing>
          <wp:inline distT="0" distB="0" distL="0" distR="0">
            <wp:extent cx="4953000" cy="809577"/>
            <wp:effectExtent l="0" t="0" r="0" b="0"/>
            <wp:docPr id="1" name="Picture 1"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237" cy="877448"/>
                    </a:xfrm>
                    <a:prstGeom prst="rect">
                      <a:avLst/>
                    </a:prstGeom>
                    <a:noFill/>
                    <a:ln>
                      <a:noFill/>
                    </a:ln>
                  </pic:spPr>
                </pic:pic>
              </a:graphicData>
            </a:graphic>
          </wp:inline>
        </w:drawing>
      </w:r>
      <w:bookmarkEnd w:id="0"/>
    </w:p>
    <w:p w:rsidR="00E7142B" w:rsidRDefault="00E7142B" w:rsidP="00E7142B">
      <w:pPr>
        <w:spacing w:before="0" w:after="120"/>
        <w:sectPr w:rsidR="00E7142B" w:rsidSect="00775F48">
          <w:footerReference w:type="default" r:id="rId10"/>
          <w:headerReference w:type="first" r:id="rId11"/>
          <w:pgSz w:w="16838" w:h="11906" w:orient="landscape" w:code="9"/>
          <w:pgMar w:top="993" w:right="1021" w:bottom="1021" w:left="1021" w:header="0" w:footer="0" w:gutter="0"/>
          <w:cols w:space="708"/>
          <w:docGrid w:linePitch="360"/>
        </w:sectPr>
      </w:pPr>
    </w:p>
    <w:p w:rsidR="005235D7" w:rsidRDefault="00611FF2" w:rsidP="00675803">
      <w:pPr>
        <w:pStyle w:val="Heading1"/>
      </w:pPr>
      <w:bookmarkStart w:id="1" w:name="_Hlk172636945"/>
      <w:r w:rsidRPr="003A45E3">
        <w:t>202</w:t>
      </w:r>
      <w:r w:rsidR="00455D2D">
        <w:t>5</w:t>
      </w:r>
      <w:r w:rsidRPr="003A45E3">
        <w:t>–2</w:t>
      </w:r>
      <w:r w:rsidR="00455D2D">
        <w:t>6</w:t>
      </w:r>
      <w:r w:rsidRPr="003A45E3">
        <w:t xml:space="preserve"> Indigenous Languages and Arts program grant recipients</w:t>
      </w:r>
      <w:bookmarkEnd w:id="1"/>
    </w:p>
    <w:p w:rsidR="00611FF2" w:rsidRDefault="00E22803" w:rsidP="00611FF2">
      <w:pPr>
        <w:pBdr>
          <w:bottom w:val="single" w:sz="4" w:space="1" w:color="C0D48F" w:themeColor="accent5"/>
        </w:pBdr>
        <w:spacing w:before="0" w:after="0"/>
        <w:rPr>
          <w:b/>
          <w:color w:val="081E3E"/>
        </w:rPr>
      </w:pPr>
      <w:r>
        <w:rPr>
          <w:b/>
          <w:color w:val="081E3E"/>
        </w:rPr>
        <w:t xml:space="preserve">October </w:t>
      </w:r>
      <w:r w:rsidR="00611FF2">
        <w:rPr>
          <w:b/>
          <w:color w:val="081E3E"/>
        </w:rPr>
        <w:t>202</w:t>
      </w:r>
      <w:r w:rsidR="00455D2D">
        <w:rPr>
          <w:b/>
          <w:color w:val="081E3E"/>
        </w:rPr>
        <w:t>5</w:t>
      </w:r>
    </w:p>
    <w:p w:rsidR="00611FF2" w:rsidRDefault="00611FF2" w:rsidP="00611FF2">
      <w:pPr>
        <w:pStyle w:val="Heading2"/>
      </w:pPr>
      <w:r>
        <w:t>Open competitive grant opportunity recipients</w:t>
      </w:r>
    </w:p>
    <w:tbl>
      <w:tblPr>
        <w:tblStyle w:val="DefaultTable1"/>
        <w:tblW w:w="5402" w:type="pct"/>
        <w:tblInd w:w="-709" w:type="dxa"/>
        <w:tblLook w:val="04A0" w:firstRow="1" w:lastRow="0" w:firstColumn="1" w:lastColumn="0" w:noHBand="0" w:noVBand="1"/>
        <w:tblCaption w:val="Sample table"/>
        <w:tblDescription w:val="Open competitive grant opportunity recipients"/>
      </w:tblPr>
      <w:tblGrid>
        <w:gridCol w:w="2249"/>
        <w:gridCol w:w="3376"/>
        <w:gridCol w:w="4879"/>
        <w:gridCol w:w="1707"/>
        <w:gridCol w:w="1272"/>
        <w:gridCol w:w="1272"/>
        <w:gridCol w:w="1231"/>
      </w:tblGrid>
      <w:tr w:rsidR="00611FF2" w:rsidTr="008768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tcPr>
          <w:p w:rsidR="00611FF2" w:rsidRDefault="00611FF2" w:rsidP="008768CE">
            <w:pPr>
              <w:spacing w:before="40" w:after="40"/>
            </w:pPr>
            <w:r>
              <w:t>Applicant</w:t>
            </w:r>
          </w:p>
        </w:tc>
        <w:tc>
          <w:tcPr>
            <w:tcW w:w="1056" w:type="pct"/>
          </w:tcPr>
          <w:p w:rsidR="00611FF2" w:rsidRDefault="00611FF2" w:rsidP="008768CE">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1526" w:type="pct"/>
          </w:tcPr>
          <w:p w:rsidR="00611FF2" w:rsidRDefault="00611FF2" w:rsidP="008768CE">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534" w:type="pct"/>
          </w:tcPr>
          <w:p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5</w:t>
            </w:r>
            <w:r>
              <w:t>–2</w:t>
            </w:r>
            <w:r w:rsidR="00455D2D">
              <w:t>6</w:t>
            </w:r>
          </w:p>
        </w:tc>
        <w:tc>
          <w:tcPr>
            <w:tcW w:w="398" w:type="pct"/>
          </w:tcPr>
          <w:p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6</w:t>
            </w:r>
            <w:r>
              <w:t>–2</w:t>
            </w:r>
            <w:r w:rsidR="00455D2D">
              <w:t>7</w:t>
            </w:r>
          </w:p>
        </w:tc>
        <w:tc>
          <w:tcPr>
            <w:tcW w:w="398" w:type="pct"/>
          </w:tcPr>
          <w:p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7</w:t>
            </w:r>
            <w:r>
              <w:t>-2</w:t>
            </w:r>
            <w:r w:rsidR="00455D2D">
              <w:t>8</w:t>
            </w:r>
          </w:p>
        </w:tc>
        <w:tc>
          <w:tcPr>
            <w:tcW w:w="385" w:type="pct"/>
          </w:tcPr>
          <w:p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Total funding</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Ganhaarr Cultural Education and Entertainment Indigenous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Garrbaalbal Guugu Gunbuthirr- Holding Language </w:t>
            </w:r>
            <w:r w:rsidR="00E22803" w:rsidRPr="00455D2D">
              <w:rPr>
                <w:rFonts w:ascii="Calibri" w:eastAsia="Times New Roman" w:hAnsi="Calibri" w:cs="Calibri"/>
                <w:color w:val="000000"/>
                <w:lang w:eastAsia="en-AU"/>
              </w:rPr>
              <w:t>with</w:t>
            </w:r>
            <w:r w:rsidRPr="00455D2D">
              <w:rPr>
                <w:rFonts w:ascii="Calibri" w:eastAsia="Times New Roman" w:hAnsi="Calibri" w:cs="Calibri"/>
                <w:color w:val="000000"/>
                <w:lang w:eastAsia="en-AU"/>
              </w:rPr>
              <w:t xml:space="preserve"> Song</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The Garrbaalbal Guugu Gunbuthirr- Holding Language with Song project will work with school aged children from Hope Vale, Wujul Wujal, and Cooktown in Cape York to compose songs in traditional language providing a legacy of material presented with translations into English.</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$148,250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$148,250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$296,500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Burruugaa Cultural Centre Ltd</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Bundjalung Voices: Revitalising Language Through Community and Education</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Support language revitalisation of the Bundjalung language (Northern Dialect) by facilitating language learning through fortnightly language lessons and two annual language camps and production of resources such as language kits, lesson plans, flashcards, a book, audio recordings, video resources and phone app.</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$107,000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$106,260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$213,260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Waringhehn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Githabul Language Books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the learning and sharing of Githabul language and cultural by having Githabul people design, write and do artwork for a series of young children's language books.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Mapoon Aboriginal Shire Council</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Mapoon Language Video Project</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Contribute to the revitalisation of the Tjundgundji and Yupangathi languages in Mapoon by enriching, repurposing and creating new materials from Mapoon's 2008 language video through community workshops co-designed with linguistic outreach workers.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Taungurung Land and Waters Council</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Guardians of Culture: Revitalising Language and Culture through Arts and Intergenerational Knowledge Transfer</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Revitalise language and song of the Taungurung nation by working with Elders to pass on cultural knowledge through language education and traditional song, while developing language resources and establishing a song group.</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Circular Head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Northwest Tasmania Languages Revitalisation Project</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Reawaken the sleeping language(s) of Northwest Tasmania by establishing a language program to continue preliminary research, creating appropriately designed resources and facilitating community engagement.</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$191,249</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$195,099</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$196,497</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$582,845</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Numburindi Development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Numburindi Upskilling to Preserve our Language</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Preserve and revitalize the Wuybuy language of the Numburindi people by creating employment for community members to develop and produce a Wubuy dictionary and become certified local language teachers and community linguists to facilitate community-led language workshops.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Barengi Gadjin Land Council Aboriginal Corporation RNTBC</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The Wotjobaluk Nations</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Language, Learning, and Engagement Program (WNLLEP)</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Revitalise Wergaia language by integrating language into everyday life, workplace practices and ceremonial events through community-driven learning, cultural performances and resource development.</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The PKKP Aboriginal Corporation RNTBC</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Caring for Country through Language and Culture</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Embed language and culture in ranger work for emerging Pinikura/Puutu Kunti Kurrama rangers by facilitating workshops with elders and consulting local rangers who will teach PKKP’s next generation of rangers.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$83,888</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$61,134</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$145,022</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Harvey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Noongar Waangkiny Kalyakoorl (Language Forever)</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Conserve, revitalise and sustain Noongar language through the facilitation of language classes and community activities, promoting language.</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Aboriginal Resource and Development Services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Rumbalpuy ga Ŋayaŋuwuy Dhäwu – Mind and Body Stories: Peer-Led, Culturally Safe Resources and Support Network in Yolŋu Languages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Support intergenerational knowledge sharing, language preservation and value of the knowledge held by senior Yolŋu by increasing access to Yolŋu languages resources crucial for mental health and wellbeing and to support systems of gurruṯu (kinship), clan languages and restorative healing.</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$189,224</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$184,520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$194,040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$567,784</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Mimal Land Management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Mibbarr Songline Linguistic Translation Project</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Transcribe, preserve and make available the Mibbarr Songline corpus/content including 150 hours of footage focused on the critically endangered Dalabon language and the severely endangered Rembarrnga, Mayali.</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$149,632</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$148,848</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$298,480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University of Melbourne, Research Unit for Indigenous Language</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Developing a Gangulu Teaching and Learning Program</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an increase to the speaker population of the Gangulu language by developing a series of language learning modules (year 1) and delivering weekly online language classes (year 2).</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$72,268</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$77,155</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$149,423</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Gunggari Native Title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Nalingu Yimbana Gunggari (All of us/biggest mob Learning Gunggari)</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Restore and revitalise the Gunggari language through the development of a multimedia app and an all-age online language learning program comprising lesson plans that will grow the level of language competency from learner to conversational and grow the fluency and generational numbers of Gunggari speakers.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Wiradjuri Condobolin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Accelerated fluency methodologies to create communities of speakers.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community led initiatives to revitalise Wiradjuri language fluency in locations of either Cowra, Tumut or Albury through groundbreaking grassroots techniques or resources developed by fluent speakers and experienced teachers to empower families to integrate the language into daily life and develop skills to support long-term language use in homes.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$195,000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Mobile Language Team</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Pathways to Community-Led Language Work (Phase 3)</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Continue to provide support and a career pathway in language work for six community members and facilitate language revival by providing a language training program to community members from three critically endangered language groups in South Australia.</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Kimberley Aboriginal Law and Culture Centre</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Capturing our Cultures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Categorise, document, archive and digitally store nearly 30,000 hours of oral histories, songs, rituals and other cultural practices from the Kimberley region of WA and make accessible to communities, language groups and members.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Wahluu Health Aboriginal Corporation Bathurst</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Murrayarra Project</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Murrayarra Program – revitalise the Wiradyuri language by engaging our youth, Elders and community members in language lessons, cultural immersion activities and language preservation initiatives and including the development of curriculum, trained instructors and digital/print materials.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Ardyaloon Art and Culture Centre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Ingarlgalandij Ngaanka Project</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transmission of the Bardi language (WA) using the master-apprentice language learning and immersion method and by developing language resources.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Australian Literacy and Numeracy Foundation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Adnyamathanha Ngawarla</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On Country Language and Culture Camps</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Continue to strengthen the knowledge and capacity of younger speakers and language educators by bringing Adnyamathanha Elders and young people together to collect, record and share language, stories and culture and to expand the Adnyamathanha Living First Languages Platform teaching and learning resource.</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$94,900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$94,900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Gathangga Wakulda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Gathangga Djukalmal Danbaan 2025</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Continue to support and grow Gathang language speakers and teachers and increase the public visibility of the language in the wider community.</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BININJ KUNWOK REGIONAL LANGUAGE CENTRE LTD</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Online Mawng Beginners Language Course</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Engage community members in Mawng language work and create opportunities for intergenerational learning and teaching of the language by delivering an online Mawng Beginners Language Teaching Course and producing a mini-phrasebook for new learners.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$82,140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$73,815</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$155,955</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Westbourne Cares Indigenous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Gulbangi Nguluwan: Echoing Voices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Connect rural and urban communities to preserve and revitalise Indigenous languages through practical workshops and digital tools to support learning that will strengthen language for future generations.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Noongar Boodjar Language Cultural Aboriginal Centre</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Preserve and revive Amangoo/Wattandee language and knowledge for plants and animals through on Country transgenerational fieldtrip and workshops.</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Develop a comprehensive language revival pathway for Amangoo/Wattandee language by working with elders, community members and Atlas of Living Australia on preserving, documenting, promoting and sharing language and knowledge about plants and animals through the creation of the online Noongar Boodjar Plant and Animal Encyclopedia.</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$59,886</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$111,747</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$28,365</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$199,998</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Groote Eylandt Bickerton Island Primary College Aboriginal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Amamalya Ayakwa (Anindilyakwa) Language Resources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Keep Anindilyakwa language strong for future generations and promote its use through the creation of three series of Anindilyakwa language video resources covering Alawudawarra (stories), Alukwanja (traditional dance) and Anindilyakwa Sign Language.</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$149,617</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$149,617</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$299,234</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Miya Kaadadjiny (Learning Sanctuary) Community Centre Inc</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Sustaining Noongar Language through Learning and Practice</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To implement the learning and practice of the Noongar language though weekly language lessons and creation of language resources that will contribute to sustaining our language for future generations.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$30,880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$30,880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Gallery Kaiela Inc</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Revitalising Yorta Yorta Language</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Yenbenal Creating Songs &amp; Music</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Contribute to the return of the Yorta Yorta language into living, breathing form through song by creating a collection of new language songs and songbook celebrating significant places, stories, histories and values.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$85,400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$98,500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$183,900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The Australian Literacy and Numeracy Foundation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Erub Mer Community Language Teaching Program</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Develop and deepen knowledge and use of Erub language and culture by supporting the continued mentoring of additional local Erub Mer educators who help deliver Erub Mer Community Language lessons that are currently held four evening per week at the local council and Indigenous Knowledge Centre.</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$49,800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$49,800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Kalyuku Ninti</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Puntuku Ngurra Limited trading as Kanyirninpa Jukurrpa</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Marlajanuku Wangka – Language for Future Generations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Strengthen traditional language acquisition for younger generations of Martu people of the Western Desert, WA, by encouraging language immersion both on and off country, developing new language resources and providing language activities in Martu communities.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Aboriginal Regional Arts Alliance (NSW)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Lighting Up Culture</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Engage with three regional NSW communities in creative workshops to develop a dynamic body of works exploring the connection between light, art and First Nations cultural expression, the results will be installations featuring printing techniques that illuminates connection to Country and Culture.</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$87,500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$59,000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$146,500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Artback NT Incorporated</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Tiwi Arts Collective (Spirit to Land</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Country to Clan)</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The Tiwi Arts Collective – Creative Development and Performance is a series of creative workshops and excursions taking place in and around the community of Pirlangimpi, in the remote northwest of Melville Island (Tiwi Islands), Northern Territory and featured in public performance.</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Bangarra Dance Theatre</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Presentation of Bangarra’s new children’s work (world premiere)</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'Whispers in the Wind: A Bogong Dream (working title)'</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'Whispers in the Wind: A Bogong Dream (working title)' is an immersive First Nations children’s theatre experience, opening a creative space for imagination and play to delve into themes of identity, belonging and the interconnectedness of life through the teachings of ancestors and the wisdom of the land.</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Big hART</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Artisan Artefacts</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Revive and celebrate traditional Tasmanian Aboriginal artisan practices, particularly on the North West Coast of Tasmania, through a cultural transmission and exchange project.</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$91,985</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$58,015</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Country Arts SA</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KUMARANGK</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Kumarangk</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telling the true story of the Ngarrindjeri mi:minar (women) who resisted the construction of the Hindmarsh Island Bridge in Goolwa through a theatre performance, exhibition, and film, which will be presented at various festivals in Adelaide, 2026.</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Gibborim PTY LTD</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Wiradjuri Youth Cultural Connections Through Art</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Foster cultural pride, education and intergenerational </w:t>
            </w:r>
            <w:r w:rsidRPr="00297D68">
              <w:rPr>
                <w:rFonts w:eastAsia="Times New Roman" w:cstheme="minorHAnsi"/>
                <w:lang w:eastAsia="en-AU"/>
              </w:rPr>
              <w:t xml:space="preserve">knowledge transfer by empowering Indigenous children in out-of-home care to connect with their culture through Wiradjuri art workshops </w:t>
            </w:r>
            <w:r w:rsidR="00297D68" w:rsidRPr="00297D68">
              <w:rPr>
                <w:rFonts w:cstheme="minorHAnsi"/>
                <w:shd w:val="clear" w:color="auto" w:fill="FFFFFF"/>
              </w:rPr>
              <w:t>led by a renowned Wiradjuri artist.</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$15,390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$15,390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$30,780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8768CE"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Ilbijerri Aboriginal </w:t>
            </w:r>
            <w:r>
              <w:rPr>
                <w:rFonts w:ascii="Calibri" w:eastAsia="Times New Roman" w:hAnsi="Calibri" w:cs="Calibri"/>
                <w:color w:val="000000"/>
                <w:lang w:eastAsia="en-AU"/>
              </w:rPr>
              <w:t>a</w:t>
            </w:r>
            <w:r w:rsidRPr="00455D2D">
              <w:rPr>
                <w:rFonts w:ascii="Calibri" w:eastAsia="Times New Roman" w:hAnsi="Calibri" w:cs="Calibri"/>
                <w:color w:val="000000"/>
                <w:lang w:eastAsia="en-AU"/>
              </w:rPr>
              <w:t>nd Torres Strait Islander Theatre Co-Operative Ltd</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The Line</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To develop and present, with </w:t>
            </w:r>
            <w:r w:rsidR="00297D68">
              <w:rPr>
                <w:rFonts w:ascii="Calibri" w:eastAsia="Times New Roman" w:hAnsi="Calibri" w:cs="Calibri"/>
                <w:color w:val="000000"/>
                <w:lang w:eastAsia="en-AU"/>
              </w:rPr>
              <w:t xml:space="preserve">a </w:t>
            </w:r>
            <w:r w:rsidRPr="00455D2D">
              <w:rPr>
                <w:rFonts w:ascii="Calibri" w:eastAsia="Times New Roman" w:hAnsi="Calibri" w:cs="Calibri"/>
                <w:color w:val="000000"/>
                <w:lang w:eastAsia="en-AU"/>
              </w:rPr>
              <w:t>Pakana/Palawa playwright</w:t>
            </w:r>
            <w:r w:rsidR="00297D68">
              <w:rPr>
                <w:rFonts w:ascii="Calibri" w:eastAsia="Times New Roman" w:hAnsi="Calibri" w:cs="Calibri"/>
                <w:color w:val="000000"/>
                <w:lang w:eastAsia="en-AU"/>
              </w:rPr>
              <w:t xml:space="preserve"> a</w:t>
            </w:r>
            <w:r w:rsidRPr="00455D2D">
              <w:rPr>
                <w:rFonts w:ascii="Calibri" w:eastAsia="Times New Roman" w:hAnsi="Calibri" w:cs="Calibri"/>
                <w:color w:val="000000"/>
                <w:lang w:eastAsia="en-AU"/>
              </w:rPr>
              <w:t>nd inconjunction with traditional owners, THE LINE, a dark, humorous and absurd performance work which captures the devastating impact of the The Black Line in Lutruwita in the 1830’s.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$130,398</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$530,398</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Insite Arts International (Aus) Pty Ltd</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Lagaw Mabaygal Ailan Ppl (LMI)</w:t>
            </w:r>
          </w:p>
        </w:tc>
        <w:tc>
          <w:tcPr>
            <w:tcW w:w="1526" w:type="pct"/>
            <w:hideMark/>
          </w:tcPr>
          <w:p w:rsidR="00455D2D" w:rsidRPr="00E22803" w:rsidRDefault="00297D68"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E22803">
              <w:rPr>
                <w:rFonts w:cstheme="minorHAnsi"/>
                <w:shd w:val="clear" w:color="auto" w:fill="FFFFFF"/>
              </w:rPr>
              <w:t>To further develop a new dance-theatre work and associated language program for young people called Lagaw Mabaygal Ailan Ppl (LMI) created by an established and highly recognised dancer and choreographer from the Saibai Koedal clan of Saibai Island with a senior visual artist of the Badhulgal &amp; Maluyligal people.</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Marrugeku Inc</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Ngurragabu</w:t>
            </w:r>
          </w:p>
        </w:tc>
        <w:tc>
          <w:tcPr>
            <w:tcW w:w="1526" w:type="pct"/>
            <w:hideMark/>
          </w:tcPr>
          <w:p w:rsidR="00455D2D" w:rsidRPr="00E22803"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en-AU"/>
              </w:rPr>
            </w:pPr>
            <w:r w:rsidRPr="00E22803">
              <w:rPr>
                <w:rFonts w:ascii="Calibri" w:eastAsia="Times New Roman" w:hAnsi="Calibri" w:cs="Calibri"/>
                <w:lang w:eastAsia="en-AU"/>
              </w:rPr>
              <w:t>Develop a major intercultural Indigenous dance-theatre work</w:t>
            </w:r>
            <w:r w:rsidR="008768CE">
              <w:rPr>
                <w:rFonts w:ascii="Calibri" w:eastAsia="Times New Roman" w:hAnsi="Calibri" w:cs="Calibri"/>
                <w:lang w:eastAsia="en-AU"/>
              </w:rPr>
              <w:t>—</w:t>
            </w:r>
            <w:r w:rsidRPr="00E22803">
              <w:rPr>
                <w:rFonts w:ascii="Calibri" w:eastAsia="Times New Roman" w:hAnsi="Calibri" w:cs="Calibri"/>
                <w:lang w:eastAsia="en-AU"/>
              </w:rPr>
              <w:t>NGURRAGABU [Tomorrow]; a post climate catastrophe will envision a new land and sea nation in northern Australia, defined by extreme heat and extreme rain events, where Indigenous connection to Country enables a radical reimagination of cultural and climate futures.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Miku Performing Arts</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Gapu Ngupan (Chasing the Rainbow)</w:t>
            </w:r>
          </w:p>
        </w:tc>
        <w:tc>
          <w:tcPr>
            <w:tcW w:w="1526" w:type="pct"/>
            <w:hideMark/>
          </w:tcPr>
          <w:p w:rsidR="00455D2D" w:rsidRPr="00E22803"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E22803">
              <w:rPr>
                <w:rFonts w:ascii="Calibri" w:eastAsia="Times New Roman" w:hAnsi="Calibri" w:cs="Calibri"/>
                <w:lang w:eastAsia="en-AU"/>
              </w:rPr>
              <w:t>Gapu Ngupan (Chasing the Rainbow)</w:t>
            </w:r>
            <w:r w:rsidR="008768CE">
              <w:rPr>
                <w:rFonts w:ascii="Calibri" w:eastAsia="Times New Roman" w:hAnsi="Calibri" w:cs="Calibri"/>
                <w:lang w:eastAsia="en-AU"/>
              </w:rPr>
              <w:t>—</w:t>
            </w:r>
            <w:r w:rsidRPr="00E22803">
              <w:rPr>
                <w:rFonts w:ascii="Calibri" w:eastAsia="Times New Roman" w:hAnsi="Calibri" w:cs="Calibri"/>
                <w:lang w:eastAsia="en-AU"/>
              </w:rPr>
              <w:t>a powerful cross-cultural performance work in music, song, dance, video projection and sound design created by First Nations artists from Arnhem Land and Taiwan with ancient ancestral connections.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$49,078</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$49,078</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Noongar Kaartdijin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Gnulla Boodja (Our Country)</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In partnership with Noongar Elders and Cultural Knowledge Holders, celebrate and promote Noongar heritage.by creating a culturally significant artwork to be positioned at Pelham Lookout.</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$22,450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$22,450</w:t>
            </w:r>
          </w:p>
        </w:tc>
      </w:tr>
      <w:tr w:rsidR="007006FA"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Tasmanian Symphony Orchestra</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palawa kani</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reviving songs of ceremony: education materials</w:t>
            </w:r>
          </w:p>
        </w:tc>
        <w:tc>
          <w:tcPr>
            <w:tcW w:w="1526" w:type="pct"/>
            <w:hideMark/>
          </w:tcPr>
          <w:p w:rsidR="00455D2D" w:rsidRPr="0029046E" w:rsidRDefault="0029046E"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29046E">
              <w:rPr>
                <w:rFonts w:cstheme="minorHAnsi"/>
                <w:shd w:val="clear" w:color="auto" w:fill="FFFFFF"/>
              </w:rPr>
              <w:t>Collaborate with a palawa man and singer-songwriter on a live performance and album recording of songs in the Tasmanian Aboriginal language palawa kani and share with the Lutruwita/Tasmanian community through education and public performances.</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$31,500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$31,500</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Tura New Music Ltd</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Language Song Muster: Strengthening First Languages in the Kimberley through Song</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Language Song Muster</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facilitate songwriting, singing, and sharing original songs in local languages to strengthen and augment current capacities and infrastructure in the Kimberley, generating new language songs, new circulation of older language songs, new songwriters, new networks, and new opportunities to share and celebrate heritage languages in song.</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$165,000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$165,000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$175,000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$505,000</w:t>
            </w:r>
          </w:p>
        </w:tc>
      </w:tr>
      <w:tr w:rsidR="007006FA" w:rsidRPr="00455D2D" w:rsidTr="008768CE">
        <w:trPr>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Yandamah Indigenous Corporation</w:t>
            </w:r>
          </w:p>
        </w:tc>
        <w:tc>
          <w:tcPr>
            <w:tcW w:w="105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Warluperri: Contemporary Warlpiri music from Lajamanu, NT</w:t>
            </w:r>
          </w:p>
        </w:tc>
        <w:tc>
          <w:tcPr>
            <w:tcW w:w="1526" w:type="pct"/>
            <w:hideMark/>
          </w:tcPr>
          <w:p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To promote contemporary Warlpiri music and culture through ‘Warluperri’, a contemporary music album led by </w:t>
            </w:r>
            <w:r w:rsidR="0029046E">
              <w:rPr>
                <w:rFonts w:ascii="Calibri" w:eastAsia="Times New Roman" w:hAnsi="Calibri" w:cs="Calibri"/>
                <w:color w:val="000000"/>
                <w:lang w:eastAsia="en-AU"/>
              </w:rPr>
              <w:t>two senior Warlpiri elders</w:t>
            </w:r>
            <w:r w:rsidRPr="00455D2D">
              <w:rPr>
                <w:rFonts w:ascii="Calibri" w:eastAsia="Times New Roman" w:hAnsi="Calibri" w:cs="Calibri"/>
                <w:color w:val="000000"/>
                <w:lang w:eastAsia="en-AU"/>
              </w:rPr>
              <w:t>.</w:t>
            </w:r>
          </w:p>
        </w:tc>
        <w:tc>
          <w:tcPr>
            <w:tcW w:w="534"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$41,338</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$41,338</w:t>
            </w:r>
          </w:p>
        </w:tc>
      </w:tr>
      <w:tr w:rsidR="00455D2D" w:rsidRPr="00455D2D"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Yirra Yaakin Aboriginal Corporation</w:t>
            </w:r>
          </w:p>
        </w:tc>
        <w:tc>
          <w:tcPr>
            <w:tcW w:w="105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Koolungar Warbiny Kaatitjin (Children Playing Knowledge/To Learn)</w:t>
            </w:r>
          </w:p>
        </w:tc>
        <w:tc>
          <w:tcPr>
            <w:tcW w:w="1526" w:type="pct"/>
            <w:hideMark/>
          </w:tcPr>
          <w:p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Commission, develop, rehearse and tour three new Aboriginal language-based theatre shows to be shared with children far and wide and to include Yamatji and Wongatha language in productions.</w:t>
            </w:r>
          </w:p>
        </w:tc>
        <w:tc>
          <w:tcPr>
            <w:tcW w:w="534"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$92,137</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$46,000</w:t>
            </w:r>
          </w:p>
        </w:tc>
        <w:tc>
          <w:tcPr>
            <w:tcW w:w="398"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$138,137</w:t>
            </w:r>
          </w:p>
        </w:tc>
      </w:tr>
    </w:tbl>
    <w:p w:rsidR="00611FF2" w:rsidRDefault="008F7D3E" w:rsidP="00611FF2">
      <w:pPr>
        <w:pStyle w:val="Heading2"/>
      </w:pPr>
      <w:r>
        <w:lastRenderedPageBreak/>
        <w:t>Targeted</w:t>
      </w:r>
      <w:r w:rsidR="00EB4F31">
        <w:t xml:space="preserve"> non-</w:t>
      </w:r>
      <w:r w:rsidR="00EB4F31" w:rsidRPr="00EB4F31">
        <w:t>competitive grant opportunity recipients</w:t>
      </w:r>
    </w:p>
    <w:tbl>
      <w:tblPr>
        <w:tblStyle w:val="DefaultTable1"/>
        <w:tblW w:w="16018" w:type="dxa"/>
        <w:tblInd w:w="-709" w:type="dxa"/>
        <w:tblLook w:val="04A0" w:firstRow="1" w:lastRow="0" w:firstColumn="1" w:lastColumn="0" w:noHBand="0" w:noVBand="1"/>
        <w:tblDescription w:val="Targeted non-competitive grant opportunity recipients"/>
      </w:tblPr>
      <w:tblGrid>
        <w:gridCol w:w="2269"/>
        <w:gridCol w:w="2346"/>
        <w:gridCol w:w="5932"/>
        <w:gridCol w:w="2069"/>
        <w:gridCol w:w="1701"/>
        <w:gridCol w:w="1701"/>
      </w:tblGrid>
      <w:tr w:rsidR="00EB4F31" w:rsidTr="008768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Pr>
          <w:p w:rsidR="00EB4F31" w:rsidRDefault="00EB4F31" w:rsidP="008768CE">
            <w:pPr>
              <w:spacing w:before="40" w:after="40"/>
            </w:pPr>
            <w:r>
              <w:t>Applicant</w:t>
            </w:r>
          </w:p>
        </w:tc>
        <w:tc>
          <w:tcPr>
            <w:tcW w:w="2346" w:type="dxa"/>
          </w:tcPr>
          <w:p w:rsidR="00EB4F31" w:rsidRDefault="00EB4F31" w:rsidP="008768CE">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5932" w:type="dxa"/>
          </w:tcPr>
          <w:p w:rsidR="00EB4F31" w:rsidRDefault="00EB4F31" w:rsidP="008768CE">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2069" w:type="dxa"/>
          </w:tcPr>
          <w:p w:rsidR="00EB4F31" w:rsidRDefault="00EB4F31" w:rsidP="008768CE">
            <w:pPr>
              <w:spacing w:before="40" w:after="40"/>
              <w:jc w:val="center"/>
              <w:cnfStyle w:val="100000000000" w:firstRow="1" w:lastRow="0" w:firstColumn="0" w:lastColumn="0" w:oddVBand="0" w:evenVBand="0" w:oddHBand="0" w:evenHBand="0" w:firstRowFirstColumn="0" w:firstRowLastColumn="0" w:lastRowFirstColumn="0" w:lastRowLastColumn="0"/>
            </w:pPr>
            <w:r w:rsidRPr="00EB4F31">
              <w:t>Funding Received up to 2024-25</w:t>
            </w:r>
            <w:r w:rsidR="00FD0C39">
              <w:rPr>
                <w:rStyle w:val="FootnoteReference"/>
              </w:rPr>
              <w:footnoteReference w:id="1"/>
            </w:r>
          </w:p>
        </w:tc>
        <w:tc>
          <w:tcPr>
            <w:tcW w:w="1701" w:type="dxa"/>
          </w:tcPr>
          <w:p w:rsidR="00EB4F31" w:rsidRDefault="00EB4F31" w:rsidP="008768CE">
            <w:pPr>
              <w:spacing w:before="40" w:after="40"/>
              <w:jc w:val="right"/>
              <w:cnfStyle w:val="100000000000" w:firstRow="1" w:lastRow="0" w:firstColumn="0" w:lastColumn="0" w:oddVBand="0" w:evenVBand="0" w:oddHBand="0" w:evenHBand="0" w:firstRowFirstColumn="0" w:firstRowLastColumn="0" w:lastRowFirstColumn="0" w:lastRowLastColumn="0"/>
            </w:pPr>
            <w:r>
              <w:t>2025-26</w:t>
            </w:r>
          </w:p>
        </w:tc>
        <w:tc>
          <w:tcPr>
            <w:tcW w:w="1701" w:type="dxa"/>
          </w:tcPr>
          <w:p w:rsidR="00EB4F31" w:rsidRDefault="00EB4F31" w:rsidP="008768CE">
            <w:pPr>
              <w:spacing w:before="40" w:after="40"/>
              <w:jc w:val="center"/>
              <w:cnfStyle w:val="100000000000" w:firstRow="1" w:lastRow="0" w:firstColumn="0" w:lastColumn="0" w:oddVBand="0" w:evenVBand="0" w:oddHBand="0" w:evenHBand="0" w:firstRowFirstColumn="0" w:firstRowLastColumn="0" w:lastRowFirstColumn="0" w:lastRowLastColumn="0"/>
            </w:pPr>
            <w:r>
              <w:t xml:space="preserve">Total funding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SharingStories Foundation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Mentoring Victorian and NSW language workers in language revival practices and production of innovative digital language and culture resources</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revive and maintain languages through mentoring community language workers and facilitate the production of digital language and cultural resources such as bilingual multi-touch books and interactive displays with targeted Indigenous language groups in Victoria and NSW.</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2,167,000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448,500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2,615,500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Saltwater Freshwater Arts Alliance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Saltwater Freshwater (SWFW) Arts and Cultural Program </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deliver projects designed specifically for the Aboriginal communities of the Mid North Coast of NSW that provide opportunities to engage in and transfer traditional knowledge and cultural practices and enhance and preserve skills development in a range of traditional and contemporary Aboriginal art forms.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868,500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241,500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1,110,000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Kimberley Aborginal Law and Culture Centre</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KALACC</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Arts and Language Portfolio</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and promote cultural strength, transmission and celebration in the Kimberley region through five key programs: Trade Routes Project, Julurru Song and Language Project, Emerging Dance Group Support, Song and Language (Ceremony), and Festivals/Events and Touring Programs which are embedded with research &amp; evaluation mechanisms and cultural governance that oversees all.</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1,462,000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391,000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1,853,000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Tauondi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Delivering Certificate II and III in Learning an Australian First Nation’s Language and Certificate IV in Teaching an Australian First Nation’s Language</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opportunities to learn Aboriginal languages with accreditation at Certificate II, III and IV levels, creating a career pathway to teach Aboriginal languages and to provide assistance to other RTOs in preparing ASQA compliant resources to also expand learning opportunities nationally.</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969,000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264,500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1,233,500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MusicNT Incorporated</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Regional Areas Music Program</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facilitate the development, production and performance of a diverse range of contemporary Indigenous music through RAMP, Bush Bands and Sista Sounds, that incorporate cultural expressions including writing and performing works in first languages.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1,760,000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Blak Dot Gallery</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Blak Dot Gallery Programmed Exhibitions &amp; Events</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present a range of art events by engaging with emerging and established artists; an annual cycle of Indigenous exhibitions, contemporary digital media, digital art programs for youth and a artist-in-residence program.</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Central West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Cultural Hub of Central West Qld</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develop, create, produce and exhibit new and innovative ways to showcase Indigenous cultural expression, promote cultural transmission and connect people with country, heritage, storylines, languages in Central West Queensland.</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Bunjum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Bunjum Bundjalung Nyangbal Language on Jagun (Country)</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expand on the existing Nyangbal language program which will introduce the Nyangbal language to wider audiences through various creative digital art forms in the Northern River region of NSW.</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Resource Network for Linguistic Diversity</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Living Languages Training Program</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culturally safe and appropriate training and professional development opportunities to First Nation Language workers across Australia through a mix of face-to-face and online workshops to increase their knowledge and skills to support the retrieval, revival, progression, preservation, and use of First Nation Languages.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Buku Larrnggay Mulka Inc</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The Mulka Project</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sustain and protect cultural knowledge utilising Yolŋu owned facilities under the leadership of Yolŋu elders through producing, repatriating and distributing vast arrays of cultural language media resources.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930,000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310,000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1,240,000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Moorambilla Voices</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2022</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25 RIVERSONG: Rebuilding and Marks on Country</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discover and bring-to-life the stories and landscape of NSW’s River systems through music, dance, drum and visual-art, collaborating with Australian composers, musicians, choreographers and visual-artists to deliver workshops, residencies, performances and recordings that celebrate song/creativity/capacity and connection-to-country.</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660,000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880,000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First Languages Australia</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Priority Languages Support Project</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identify and document critically endangered languages for which little or no documentation exists but where there are living speakers Nation wide.</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Arwarbukarl Cultural Resource Association Incorporated</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Miromaa Language Technology Program</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facilitate greater capacity building and delivery of the Miromaa Technology Program, incorporating its unique software platform, community-driven tools and methods to continue empowering Indigenous people across Australia to revitalise and conserve their language.</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Community Arts Network Western Australia Limited</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Noongar Place Names and Noongar Lullabies</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expand the Noongar Place Names and Noongar Lullabies programs to encompass additional elements of Aboriginal cultural lore, intergenerational storytelling, and on-country learning experiences deepening  connections to Noongar language, culture and land in the Perth region of WA.</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990,000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MIPAAC</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Miwi-inyeri Pelepi-ambi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Ngarrindjeri Language &amp; Culture Revitalisation</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maintain and revive Ngarrindjeri language and culture through resource production, formal and informal language learning and training, youth workshops and school holiday programs and leadership training and support.</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375,000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University of Adelaide</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KWP Building Kaurna Language for the Future</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monitor and support the Kaurna language through training and mentoring, research and the production of quality language resources (print-based, electronic and online) to supplement core resources already published.</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Barkly Regional Arts Inc</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Winanjjikari Music and and Barkly Regional Arts' Media Mob</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Through Winanjjikari Music Centre and Barkly Regional Arts Media Mob, facilitate the ongoing preserving Indigenous languages by bringing together artists, musicians and other creatives to produce, promote and preserve original works in language.</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1,155,000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385,000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1,540,000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Library Board of Queensland</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Reviving Queensland's First Nations Languages</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targeted language revival actions, including: research, workshops, digitisation, documenting and sharing through the coordinated 'Reviving Queensland's First Nations Languages' project.</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750,000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1,000,000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First Languages Australia</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Peak body for Aboriginal and Torres Strait Islander language centres and programs</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operate as the peak body for language centres and programs, representing the interests of language centres and programs to Government and partner organisations, nation wide.</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Kura Yerlo Inc</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Kurruru Arts and Culture Hub</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opportunities for Aboriginal and Torres Strait Islander young people from the Port Adelaide region of South Australia to engage in culture and language through a multitude of artistic mediums, traditional and contemporary and including visual and digital arts, dance and music, as well as mentorship and career pathways.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391,000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127,000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518,000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Ngukurr Language Centre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Ngukurr Language Centre</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revitalise, document and teach the traditional languages of Ngukurr and neighbouring communities through various programs and activities and including the training and development of local Indigenous language workers.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Wangka Maya Pilbara Aboriginal Language Centre</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2023</w:t>
            </w:r>
            <w:r w:rsidR="008768CE">
              <w:rPr>
                <w:rFonts w:ascii="Calibri" w:eastAsia="Times New Roman" w:hAnsi="Calibri" w:cs="Calibri"/>
                <w:color w:val="000000"/>
                <w:lang w:eastAsia="en-AU"/>
              </w:rPr>
              <w:t>–2025</w:t>
            </w:r>
            <w:r w:rsidRPr="00EB4F31">
              <w:rPr>
                <w:rFonts w:ascii="Calibri" w:eastAsia="Times New Roman" w:hAnsi="Calibri" w:cs="Calibri"/>
                <w:color w:val="000000"/>
                <w:lang w:eastAsia="en-AU"/>
              </w:rPr>
              <w:t xml:space="preserve"> Warlilpamanarnta Muwarr Jukurrpaja; Maintaining the languages of the Dreaming.</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continue the preservation of First Nation’s languages, cultures and history from the Pilbara Region, WA including producing a wide range of language books, learning aids, archiving and documenting work and recording and sharing traditional lore, language and culture with younger generations.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ARDS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Keeping Yolŋu languages strong</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and develop the capacity of Yolŋu language workers and language custodians to respond to the growing demand for translation, resource-creation, and maintenance and revitalisation projects for Yolŋu languages.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1,491,780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1,991,780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Tasmanian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palawa kani Language Retrieval + Revival Program</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retrieve, revive, maintain and increase Tasmanian Aborigines’ knowledge and use of palawa kani, the Tasmanian Aboriginal language, and advocate for public acknowledgment and appropriate use of the language.</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Cape York Institute</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Pama Language Centre/ Pama Centre for Language Revitalisation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Pama Language Centre / Pama Centre for Language Revitalisation</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work with First Nations speech communities to record, revive, revitalise and maintain the ancestral languages of Cape York Peninsula.</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Batchelor Institute of Indigenous Tertiary Education (NT)</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Centre for Australian Languages and Linguistics (CALL) Community Language Support</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undertake language project work including recording, documentation, publication, training, research, resource development and language learning throughout Central Australia and the Top End, NT and at new sites as negotiated and requested by communities.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Ceduna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Far West Languages Centre</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conduct revitalisation, restoration, research, documentation and maintenance of the Wirangu, Gugada/Kokatha, Mirning languages of the Far West Eyre Peninsula, SA and Southern Desert Languages including Kulpantjatjara, Yankuntjatjara and Pitjantjatjara Languages.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University of Adelaide</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Mobile Language Team (SA)</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continue to deliver a program of Aboriginal language activities to ensure the revival and strengthening of the traditional languages of South Australia.</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Nyamba Buru Yawuru</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Mabu Yawuru Ngan-ga</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prepare, consolidate and share the journey of Yawuru Ngan-ga and work alongside other language groups in the West-Kimberley region to support their revitalisation and maintenance language programs.</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Mirima Council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Mirima Dawang Woorlab-gerring Language and Culture Centre</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languages of the Miriwoong and Gajirrabeng people in the wider Kununurra area of the East Kimberley region.</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Kimberley Language Resource Centre</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Operational Funding</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language revitalisation support to language groups in the Kimberley region of WA.</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1,326,000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1,826,000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Arwarbukarl Cultural Resource Association Incorporated</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Language Centre Services</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core operations and capacity of our language centre to continue to run the Awabakal language program, provide language services to local communities and be a key resource centre for the promotion, sharing and strengthening of our languages.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Goldfields Aboriginal Language Centre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Goldfields Aboriginal Language Centre</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undertake recording, linguistic analysis, data-basing and creation of preservation documentation for Aboriginal languages of the Goldfields region, WA.</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1,625,000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2,175,000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Bininj Kunwok Regional Language Centre Ltd</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Bininj Kunwok Regional Language Centre 2022</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25</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and maintain the languages of Kakadu National Park and western Arnhem Land through a wide range of activities and in collaboration with the local community and organisations.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1,092,500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1,592,500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Regional Enterprise Development Institute LTD</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REDI.E’s Language Centre is essential to the expression, preservation and maintenance of Aboriginal cultures in the Murdi Paaki region</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maintain Indigenous language services to preserve and promote the traditional languages in the Murdi Paaki region, including language workshops, celebratory events and language resources in a range of formats .</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1,935,600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2,585,600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Gidarjil Development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Gidarjil Central Queensland Language Centre</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record, revive, preserve, educate and increase awareness of endangered Indigenous languages in the Central Queensland region.</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Bundiyarra Aboriginal Community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Iraa Wangga Language Centre</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Operational Funding</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operate the Irra Wangga Language Centre which will conduct programs, projects and language elicitation, education, maintenance and revitalisation of eleven languages in the Midwest, Murchison and Gascoyne regions of Western Australia.</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Strategy Developments Pty. Ltd.</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South East Qld Indigenous Language Centre</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Indigenous languages by implementing a decentralised model with direct support and resourcing available to language teachers in the south East region of Queensland.</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Noongar Boodjar Language Cultural Aboriginal Corporation</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Noongar Boodjar Language Centre</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Conduct language activity projects aimed at reviving and maintaining Noongar language from the south-west of WA, including recording, transcribing, databasing, analysing and archiving, resource development such as comprehensive dialect dictionaries, grammar and other  language resources and teaching the language.</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Wiradjuri Condobolin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WCC Language Program</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Indigenous language groups to develop, distribute and promote physical &amp; digital learning resources; with the addition of further documentation and language-related activities bespoke to each group; working towards strong, supported and flourishing languages.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1,422,000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1,922,000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Muurrbay Aboriginal Language and Culture Cooperative</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Support the administration of an Indigenous Language Centre in the Mid North Coast region of New South Wales</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administration of an Indigenous Language Centre in the Mid North Coast region of New South Wales to undertake language revival and maintenance activities on various Indigenous languages within the region.</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Papulu Apparr-Kari Aboriginal Corporation</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PAK Operational</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administration of an Indigenous Language Centre in the Barkly Region of the Northern Territory and undertake language revival and maintenance activities on various Indigenous languages within the region and to provide a safe, secure premise for the keeping of language materials.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North Queensland Regional Aboriginal Corporation Languages Centre</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Languages</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facilitate workshops and lessons, and produce publications to aid in the revival of identified Aboriginal Languages within the North Queensland (7) Region.</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Torres Strait Regional Authority</w:t>
            </w:r>
          </w:p>
        </w:tc>
        <w:tc>
          <w:tcPr>
            <w:tcW w:w="2346"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Torres Strait Language Project</w:t>
            </w:r>
          </w:p>
        </w:tc>
        <w:tc>
          <w:tcPr>
            <w:tcW w:w="5932" w:type="dxa"/>
            <w:hideMark/>
          </w:tcPr>
          <w:p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Provision of priority Torres Strait traditional languages preservation initiatives through function of a Language Centre and delivery of maintenance projects across Torres Strait communities.</w:t>
            </w:r>
          </w:p>
        </w:tc>
        <w:tc>
          <w:tcPr>
            <w:tcW w:w="2069"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950,000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400,000 </w:t>
            </w:r>
          </w:p>
        </w:tc>
        <w:tc>
          <w:tcPr>
            <w:tcW w:w="1701" w:type="dxa"/>
            <w:noWrap/>
            <w:hideMark/>
          </w:tcPr>
          <w:p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1,350,000 </w:t>
            </w:r>
          </w:p>
        </w:tc>
      </w:tr>
      <w:tr w:rsidR="00EB4F31" w:rsidRPr="00EB4F31"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Victorian Aboriginal Corporation for Languages</w:t>
            </w:r>
          </w:p>
        </w:tc>
        <w:tc>
          <w:tcPr>
            <w:tcW w:w="2346"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Victorian Aboriginal Corporation for Languages</w:t>
            </w:r>
          </w:p>
        </w:tc>
        <w:tc>
          <w:tcPr>
            <w:tcW w:w="5932" w:type="dxa"/>
            <w:hideMark/>
          </w:tcPr>
          <w:p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Re-engaging Language Revitalization communities post-Covid19 and realignment of VACL's Strategic Plan</w:t>
            </w:r>
          </w:p>
        </w:tc>
        <w:tc>
          <w:tcPr>
            <w:tcW w:w="2069"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1,625,000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2,275,000 </w:t>
            </w:r>
          </w:p>
        </w:tc>
      </w:tr>
    </w:tbl>
    <w:p w:rsidR="00DE4FE2" w:rsidRDefault="00DE4FE2"/>
    <w:sectPr w:rsidR="00DE4FE2" w:rsidSect="00775F48">
      <w:headerReference w:type="default" r:id="rId12"/>
      <w:type w:val="continuous"/>
      <w:pgSz w:w="16838" w:h="11906" w:orient="landscape" w:code="9"/>
      <w:pgMar w:top="1021" w:right="1021" w:bottom="1021" w:left="1021"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AE" w:rsidRDefault="00FD46AE" w:rsidP="008456D5">
      <w:pPr>
        <w:spacing w:before="0" w:after="0"/>
      </w:pPr>
      <w:r>
        <w:separator/>
      </w:r>
    </w:p>
  </w:endnote>
  <w:endnote w:type="continuationSeparator" w:id="0">
    <w:p w:rsidR="00FD46AE" w:rsidRDefault="00FD46AE"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F31" w:rsidRDefault="00EB4F31" w:rsidP="00E7142B">
    <w:pPr>
      <w:pStyle w:val="Footer"/>
      <w:tabs>
        <w:tab w:val="clear" w:pos="4513"/>
        <w:tab w:val="clear" w:pos="9026"/>
        <w:tab w:val="right" w:pos="14742"/>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8768CE">
      <w:rPr>
        <w:rFonts w:cs="Segoe UI"/>
        <w:noProof/>
        <w:szCs w:val="18"/>
      </w:rPr>
      <w:t>2025–26 Indigenous Languages and Arts program grant recipients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EB4F31" w:rsidRDefault="00EB4F31" w:rsidP="00E7142B">
    <w:pPr>
      <w:pStyle w:val="SecurityMarker"/>
      <w:spacing w:before="0" w:after="0"/>
      <w:ind w:left="-993"/>
    </w:pPr>
    <w:r>
      <w:rPr>
        <w:noProof/>
        <w:lang w:eastAsia="en-AU"/>
      </w:rPr>
      <w:drawing>
        <wp:inline distT="0" distB="0" distL="0" distR="0" wp14:anchorId="0FA12308" wp14:editId="33C9A972">
          <wp:extent cx="10692000" cy="183240"/>
          <wp:effectExtent l="0" t="0" r="0"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AE" w:rsidRPr="005912BE" w:rsidRDefault="00FD46AE" w:rsidP="005912BE">
      <w:pPr>
        <w:spacing w:before="300"/>
        <w:rPr>
          <w:color w:val="008089" w:themeColor="accent2"/>
        </w:rPr>
      </w:pPr>
      <w:r w:rsidRPr="000D244D">
        <w:rPr>
          <w:color w:val="004044" w:themeColor="accent2" w:themeShade="80"/>
        </w:rPr>
        <w:t>----------</w:t>
      </w:r>
    </w:p>
  </w:footnote>
  <w:footnote w:type="continuationSeparator" w:id="0">
    <w:p w:rsidR="00FD46AE" w:rsidRDefault="00FD46AE" w:rsidP="008456D5">
      <w:pPr>
        <w:spacing w:before="0" w:after="0"/>
      </w:pPr>
      <w:r>
        <w:continuationSeparator/>
      </w:r>
    </w:p>
  </w:footnote>
  <w:footnote w:id="1">
    <w:p w:rsidR="00FD0C39" w:rsidRPr="00FD0C39" w:rsidRDefault="00FD0C39">
      <w:pPr>
        <w:pStyle w:val="FootnoteText"/>
        <w:rPr>
          <w:lang w:val="en-US"/>
        </w:rPr>
      </w:pPr>
      <w:r>
        <w:rPr>
          <w:rStyle w:val="FootnoteReference"/>
        </w:rPr>
        <w:footnoteRef/>
      </w:r>
      <w:r>
        <w:t xml:space="preserve"> </w:t>
      </w:r>
      <w:r w:rsidR="003C2DEB">
        <w:t>“</w:t>
      </w:r>
      <w:r>
        <w:rPr>
          <w:lang w:val="en-US"/>
        </w:rPr>
        <w:t>Funding received up to 2024-25</w:t>
      </w:r>
      <w:r w:rsidR="003C2DEB">
        <w:rPr>
          <w:lang w:val="en-US"/>
        </w:rPr>
        <w:t>”</w:t>
      </w:r>
      <w:r>
        <w:rPr>
          <w:lang w:val="en-US"/>
        </w:rPr>
        <w:t xml:space="preserve"> is the total amount received, spanning multiple</w:t>
      </w:r>
      <w:r w:rsidR="008F7D3E">
        <w:rPr>
          <w:lang w:val="en-US"/>
        </w:rPr>
        <w:t xml:space="preserve"> previous</w:t>
      </w:r>
      <w:r>
        <w:rPr>
          <w:lang w:val="en-US"/>
        </w:rPr>
        <w:t xml:space="preserve"> financial years as at 30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tatus"/>
      <w:tag w:val=""/>
      <w:id w:val="-1813397779"/>
      <w:placeholder>
        <w:docPart w:val="BFDF2B5F914A4456BA428C01F03056BB"/>
      </w:placeholder>
      <w:dataBinding w:prefixMappings="xmlns:ns0='http://purl.org/dc/elements/1.1/' xmlns:ns1='http://schemas.openxmlformats.org/package/2006/metadata/core-properties' " w:xpath="/ns1:coreProperties[1]/ns1:contentStatus[1]" w:storeItemID="{6C3C8BC8-F283-45AE-878A-BAB7291924A1}"/>
      <w:text/>
    </w:sdtPr>
    <w:sdtEndPr/>
    <w:sdtContent>
      <w:p w:rsidR="00EB4F31" w:rsidRDefault="00EB4F31" w:rsidP="00F82CA0">
        <w:pPr>
          <w:pStyle w:val="SecurityMarker"/>
        </w:pPr>
        <w:r>
          <w:t>&lt;SELECT THE CLASSIFICATION MARKER ABOVE THAT APPLIES TO YOUR DOCUMENT, THEN DELETE THE OTHERS AND THIS TEXT&gt;</w:t>
        </w:r>
      </w:p>
    </w:sdtContent>
  </w:sdt>
  <w:p w:rsidR="00EB4F31" w:rsidRDefault="008F7D3E" w:rsidP="00F82CA0">
    <w:pPr>
      <w:pStyle w:val="Header"/>
      <w:spacing w:after="720"/>
    </w:pPr>
    <w:fldSimple w:instr=" STYLEREF  &quot;Heading 1&quot; \l  \* MERGEFORMAT ">
      <w:r w:rsidR="00EB4F31">
        <w:rPr>
          <w:noProof/>
        </w:rPr>
        <w:t>Heading 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F31" w:rsidRPr="00063856" w:rsidRDefault="008F7D3E" w:rsidP="00611FF2">
    <w:pPr>
      <w:pStyle w:val="Header"/>
    </w:pPr>
    <w:fldSimple w:instr=" STYLEREF  &quot;Heading 2&quot;  \* MERGEFORMAT ">
      <w:r w:rsidR="008768CE">
        <w:rPr>
          <w:noProof/>
        </w:rPr>
        <w:t>Targeted non-competitive grant opportunity recipients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num>
  <w:num w:numId="33">
    <w:abstractNumId w:val="2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23195"/>
    <w:rsid w:val="00073C0B"/>
    <w:rsid w:val="000D244D"/>
    <w:rsid w:val="000E24BA"/>
    <w:rsid w:val="000E5674"/>
    <w:rsid w:val="000F672E"/>
    <w:rsid w:val="00131542"/>
    <w:rsid w:val="00132CFF"/>
    <w:rsid w:val="001349C6"/>
    <w:rsid w:val="00193EF3"/>
    <w:rsid w:val="001F5825"/>
    <w:rsid w:val="00203071"/>
    <w:rsid w:val="002254D5"/>
    <w:rsid w:val="0022611D"/>
    <w:rsid w:val="00260BD5"/>
    <w:rsid w:val="00284164"/>
    <w:rsid w:val="0029046E"/>
    <w:rsid w:val="00297D68"/>
    <w:rsid w:val="002B2E71"/>
    <w:rsid w:val="002B3569"/>
    <w:rsid w:val="002B6E01"/>
    <w:rsid w:val="002B7197"/>
    <w:rsid w:val="002C5F5A"/>
    <w:rsid w:val="002E1ADA"/>
    <w:rsid w:val="00351AB4"/>
    <w:rsid w:val="003720E9"/>
    <w:rsid w:val="003C2DEB"/>
    <w:rsid w:val="003C625A"/>
    <w:rsid w:val="003F775D"/>
    <w:rsid w:val="00420F04"/>
    <w:rsid w:val="00444726"/>
    <w:rsid w:val="00455D2D"/>
    <w:rsid w:val="00460676"/>
    <w:rsid w:val="00474647"/>
    <w:rsid w:val="00477E77"/>
    <w:rsid w:val="004B03E0"/>
    <w:rsid w:val="004F0F85"/>
    <w:rsid w:val="00515C0E"/>
    <w:rsid w:val="005235D7"/>
    <w:rsid w:val="00524D1C"/>
    <w:rsid w:val="00541213"/>
    <w:rsid w:val="00546218"/>
    <w:rsid w:val="005603F5"/>
    <w:rsid w:val="005878B3"/>
    <w:rsid w:val="005912BE"/>
    <w:rsid w:val="005D3FCB"/>
    <w:rsid w:val="005F794B"/>
    <w:rsid w:val="00611FF2"/>
    <w:rsid w:val="00645BA5"/>
    <w:rsid w:val="00675803"/>
    <w:rsid w:val="006A71D1"/>
    <w:rsid w:val="006E0395"/>
    <w:rsid w:val="006E1ECA"/>
    <w:rsid w:val="007006FA"/>
    <w:rsid w:val="00763588"/>
    <w:rsid w:val="00775F48"/>
    <w:rsid w:val="00782B49"/>
    <w:rsid w:val="007A00C7"/>
    <w:rsid w:val="007A05BE"/>
    <w:rsid w:val="007A1933"/>
    <w:rsid w:val="008067A1"/>
    <w:rsid w:val="00824506"/>
    <w:rsid w:val="008428F8"/>
    <w:rsid w:val="008456D5"/>
    <w:rsid w:val="0084634B"/>
    <w:rsid w:val="008768CE"/>
    <w:rsid w:val="008A1887"/>
    <w:rsid w:val="008B6A81"/>
    <w:rsid w:val="008E2A0D"/>
    <w:rsid w:val="008F3DD3"/>
    <w:rsid w:val="008F7D3E"/>
    <w:rsid w:val="00902D70"/>
    <w:rsid w:val="00951405"/>
    <w:rsid w:val="009560FF"/>
    <w:rsid w:val="00956737"/>
    <w:rsid w:val="009B00F2"/>
    <w:rsid w:val="009B52F3"/>
    <w:rsid w:val="009D2721"/>
    <w:rsid w:val="009F7051"/>
    <w:rsid w:val="00A070A2"/>
    <w:rsid w:val="00A95970"/>
    <w:rsid w:val="00AD7703"/>
    <w:rsid w:val="00B1450F"/>
    <w:rsid w:val="00B42AC2"/>
    <w:rsid w:val="00B80CD9"/>
    <w:rsid w:val="00B928B3"/>
    <w:rsid w:val="00BB37C0"/>
    <w:rsid w:val="00BB3AAC"/>
    <w:rsid w:val="00C058FD"/>
    <w:rsid w:val="00C32ADE"/>
    <w:rsid w:val="00CB2A6F"/>
    <w:rsid w:val="00CC5764"/>
    <w:rsid w:val="00CD233E"/>
    <w:rsid w:val="00CF6CFD"/>
    <w:rsid w:val="00D07944"/>
    <w:rsid w:val="00D1674F"/>
    <w:rsid w:val="00D34671"/>
    <w:rsid w:val="00D5655E"/>
    <w:rsid w:val="00D5724D"/>
    <w:rsid w:val="00D659E9"/>
    <w:rsid w:val="00DA6082"/>
    <w:rsid w:val="00DB59A7"/>
    <w:rsid w:val="00DE06AB"/>
    <w:rsid w:val="00DE4362"/>
    <w:rsid w:val="00DE4FE2"/>
    <w:rsid w:val="00E04908"/>
    <w:rsid w:val="00E1015B"/>
    <w:rsid w:val="00E22803"/>
    <w:rsid w:val="00E7142B"/>
    <w:rsid w:val="00E71689"/>
    <w:rsid w:val="00E76F76"/>
    <w:rsid w:val="00E83B82"/>
    <w:rsid w:val="00EB4F31"/>
    <w:rsid w:val="00F201FB"/>
    <w:rsid w:val="00F67CDB"/>
    <w:rsid w:val="00F82CA0"/>
    <w:rsid w:val="00F97AF5"/>
    <w:rsid w:val="00FA54E8"/>
    <w:rsid w:val="00FB78D1"/>
    <w:rsid w:val="00FC32B2"/>
    <w:rsid w:val="00FC34AF"/>
    <w:rsid w:val="00FD0C39"/>
    <w:rsid w:val="00FD46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EBC9D"/>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42B"/>
    <w:pPr>
      <w:suppressAutoHyphens/>
    </w:pPr>
  </w:style>
  <w:style w:type="paragraph" w:styleId="Heading1">
    <w:name w:val="heading 1"/>
    <w:basedOn w:val="Normal"/>
    <w:next w:val="Normal"/>
    <w:link w:val="Heading1Char"/>
    <w:uiPriority w:val="9"/>
    <w:qFormat/>
    <w:rsid w:val="00611FF2"/>
    <w:pPr>
      <w:keepNext/>
      <w:keepLines/>
      <w:spacing w:before="240" w:after="160"/>
      <w:contextualSpacing/>
      <w:outlineLvl w:val="0"/>
    </w:pPr>
    <w:rPr>
      <w:rFonts w:asciiTheme="majorHAnsi" w:eastAsiaTheme="majorEastAsia" w:hAnsiTheme="majorHAnsi" w:cstheme="majorBidi"/>
      <w:b/>
      <w:color w:val="081E3E" w:themeColor="text2"/>
      <w:sz w:val="52"/>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11FF2"/>
    <w:rPr>
      <w:rFonts w:asciiTheme="majorHAnsi" w:eastAsiaTheme="majorEastAsia" w:hAnsiTheme="majorHAnsi" w:cstheme="majorBidi"/>
      <w:b/>
      <w:color w:val="081E3E" w:themeColor="text2"/>
      <w:sz w:val="52"/>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D659E9"/>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styleId="BalloonText">
    <w:name w:val="Balloon Text"/>
    <w:basedOn w:val="Normal"/>
    <w:link w:val="BalloonTextChar"/>
    <w:uiPriority w:val="99"/>
    <w:semiHidden/>
    <w:unhideWhenUsed/>
    <w:rsid w:val="00131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2"/>
    <w:rPr>
      <w:rFonts w:ascii="Segoe UI" w:hAnsi="Segoe UI" w:cs="Segoe UI"/>
      <w:sz w:val="18"/>
      <w:szCs w:val="18"/>
    </w:rPr>
  </w:style>
  <w:style w:type="paragraph" w:customStyle="1" w:styleId="Tablerowcolumnheadingcentred0">
    <w:name w:val="Table row/column heading centred"/>
    <w:basedOn w:val="Tablerowcolumnheading"/>
    <w:next w:val="Normal"/>
    <w:rsid w:val="00675803"/>
    <w:pPr>
      <w:shd w:val="clear" w:color="auto" w:fill="auto"/>
      <w:spacing w:before="0" w:after="0"/>
      <w:jc w:val="center"/>
    </w:pPr>
    <w:rPr>
      <w:rFonts w:ascii="Segoe UI" w:eastAsia="Times New Roman" w:hAnsi="Segoe UI" w:cs="Times New Roman"/>
      <w:color w:val="auto"/>
      <w:sz w:val="20"/>
    </w:rPr>
  </w:style>
  <w:style w:type="paragraph" w:customStyle="1" w:styleId="Tabletextcentred0">
    <w:name w:val="Table text centred"/>
    <w:basedOn w:val="Tabletext"/>
    <w:next w:val="NoSpacing"/>
    <w:rsid w:val="00675803"/>
    <w:pPr>
      <w:spacing w:before="0" w:after="0"/>
      <w:jc w:val="center"/>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57943406">
      <w:bodyDiv w:val="1"/>
      <w:marLeft w:val="0"/>
      <w:marRight w:val="0"/>
      <w:marTop w:val="0"/>
      <w:marBottom w:val="0"/>
      <w:divBdr>
        <w:top w:val="none" w:sz="0" w:space="0" w:color="auto"/>
        <w:left w:val="none" w:sz="0" w:space="0" w:color="auto"/>
        <w:bottom w:val="none" w:sz="0" w:space="0" w:color="auto"/>
        <w:right w:val="none" w:sz="0" w:space="0" w:color="auto"/>
      </w:divBdr>
    </w:div>
    <w:div w:id="140855722">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23886909">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1436560037">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 w:id="1953710724">
      <w:bodyDiv w:val="1"/>
      <w:marLeft w:val="0"/>
      <w:marRight w:val="0"/>
      <w:marTop w:val="0"/>
      <w:marBottom w:val="0"/>
      <w:divBdr>
        <w:top w:val="none" w:sz="0" w:space="0" w:color="auto"/>
        <w:left w:val="none" w:sz="0" w:space="0" w:color="auto"/>
        <w:bottom w:val="none" w:sz="0" w:space="0" w:color="auto"/>
        <w:right w:val="none" w:sz="0" w:space="0" w:color="auto"/>
      </w:divBdr>
    </w:div>
    <w:div w:id="2011324562">
      <w:bodyDiv w:val="1"/>
      <w:marLeft w:val="0"/>
      <w:marRight w:val="0"/>
      <w:marTop w:val="0"/>
      <w:marBottom w:val="0"/>
      <w:divBdr>
        <w:top w:val="none" w:sz="0" w:space="0" w:color="auto"/>
        <w:left w:val="none" w:sz="0" w:space="0" w:color="auto"/>
        <w:bottom w:val="none" w:sz="0" w:space="0" w:color="auto"/>
        <w:right w:val="none" w:sz="0" w:space="0" w:color="auto"/>
      </w:divBdr>
    </w:div>
    <w:div w:id="2093040599">
      <w:bodyDiv w:val="1"/>
      <w:marLeft w:val="0"/>
      <w:marRight w:val="0"/>
      <w:marTop w:val="0"/>
      <w:marBottom w:val="0"/>
      <w:divBdr>
        <w:top w:val="none" w:sz="0" w:space="0" w:color="auto"/>
        <w:left w:val="none" w:sz="0" w:space="0" w:color="auto"/>
        <w:bottom w:val="none" w:sz="0" w:space="0" w:color="auto"/>
        <w:right w:val="none" w:sz="0" w:space="0" w:color="auto"/>
      </w:divBdr>
    </w:div>
    <w:div w:id="21315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F2B5F914A4456BA428C01F03056BB"/>
        <w:category>
          <w:name w:val="General"/>
          <w:gallery w:val="placeholder"/>
        </w:category>
        <w:types>
          <w:type w:val="bbPlcHdr"/>
        </w:types>
        <w:behaviors>
          <w:behavior w:val="content"/>
        </w:behaviors>
        <w:guid w:val="{2AEC5967-E400-4381-9E38-C7DD8891534B}"/>
      </w:docPartPr>
      <w:docPartBody>
        <w:p w:rsidR="00EB7190" w:rsidRDefault="00EB7190">
          <w:pPr>
            <w:pStyle w:val="BFDF2B5F914A4456BA428C01F03056BB"/>
          </w:pPr>
          <w:r w:rsidRPr="00A64A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90"/>
    <w:rsid w:val="000632E9"/>
    <w:rsid w:val="004151C5"/>
    <w:rsid w:val="0041609A"/>
    <w:rsid w:val="0088025E"/>
    <w:rsid w:val="00AD0EE9"/>
    <w:rsid w:val="00EB71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2E9"/>
    <w:rPr>
      <w:color w:val="808080"/>
    </w:rPr>
  </w:style>
  <w:style w:type="paragraph" w:customStyle="1" w:styleId="C18323E2B75D456A869BD5B65C1516C2">
    <w:name w:val="C18323E2B75D456A869BD5B65C1516C2"/>
  </w:style>
  <w:style w:type="paragraph" w:customStyle="1" w:styleId="1399834A4A1740E5A40C53C46B41E401">
    <w:name w:val="1399834A4A1740E5A40C53C46B41E401"/>
  </w:style>
  <w:style w:type="paragraph" w:customStyle="1" w:styleId="340590B1B0AC49729B7E0183D15DA58C">
    <w:name w:val="340590B1B0AC49729B7E0183D15DA58C"/>
  </w:style>
  <w:style w:type="paragraph" w:customStyle="1" w:styleId="61F7829985474A46956F1AB709934D35">
    <w:name w:val="61F7829985474A46956F1AB709934D35"/>
  </w:style>
  <w:style w:type="paragraph" w:customStyle="1" w:styleId="26D777F0B97D43229702FBB58CB8327D">
    <w:name w:val="26D777F0B97D43229702FBB58CB8327D"/>
  </w:style>
  <w:style w:type="paragraph" w:customStyle="1" w:styleId="E95854C84F604CD1918DEC8EC5A81AA9">
    <w:name w:val="E95854C84F604CD1918DEC8EC5A81AA9"/>
  </w:style>
  <w:style w:type="paragraph" w:customStyle="1" w:styleId="F1043BBC1A8C43548D68E0575DB3DD41">
    <w:name w:val="F1043BBC1A8C43548D68E0575DB3DD41"/>
  </w:style>
  <w:style w:type="paragraph" w:customStyle="1" w:styleId="C9824CE2621B4AC9996BCA67EBCDDC46">
    <w:name w:val="C9824CE2621B4AC9996BCA67EBCDDC46"/>
  </w:style>
  <w:style w:type="paragraph" w:customStyle="1" w:styleId="96942B1B9C044668B80004541B44CE21">
    <w:name w:val="96942B1B9C044668B80004541B44CE21"/>
  </w:style>
  <w:style w:type="paragraph" w:customStyle="1" w:styleId="BFDF2B5F914A4456BA428C01F03056BB">
    <w:name w:val="BFDF2B5F914A4456BA428C01F03056BB"/>
  </w:style>
  <w:style w:type="paragraph" w:customStyle="1" w:styleId="D0EF59007F6E461EB3DC380778FDC6D5">
    <w:name w:val="D0EF59007F6E461EB3DC380778FDC6D5"/>
    <w:rsid w:val="00063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455F3-E295-4EE8-B782-E7CBFF1B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DITRDCA Report template landscape_29092022.dotx</Template>
  <TotalTime>1</TotalTime>
  <Pages>17</Pages>
  <Words>4950</Words>
  <Characters>27278</Characters>
  <Application>Microsoft Office Word</Application>
  <DocSecurity>4</DocSecurity>
  <Lines>454</Lines>
  <Paragraphs>214</Paragraphs>
  <ScaleCrop>false</ScaleCrop>
  <HeadingPairs>
    <vt:vector size="2" baseType="variant">
      <vt:variant>
        <vt:lpstr>Title</vt:lpstr>
      </vt:variant>
      <vt:variant>
        <vt:i4>1</vt:i4>
      </vt:variant>
    </vt:vector>
  </HeadingPairs>
  <TitlesOfParts>
    <vt:vector size="1" baseType="lpstr">
      <vt:lpstr>2025–26 Indigenous Languages and Arts program grant recipients—October 2025</vt:lpstr>
    </vt:vector>
  </TitlesOfParts>
  <Company>Australian Government, Department of Infrastructure, Transport, Regional Development, Communications, Sport and the Arts</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Indigenous Languages and Arts program grant recipients—October 2025</dc:title>
  <dc:subject/>
  <dc:creator>Australian Government, Department of Infrastructure, Transport, Regional Development, Communications, Sport and the Arts</dc:creator>
  <cp:keywords/>
  <dc:description/>
  <cp:lastModifiedBy>Hall, Theresa</cp:lastModifiedBy>
  <cp:revision>2</cp:revision>
  <cp:lastPrinted>2023-07-04T07:52:00Z</cp:lastPrinted>
  <dcterms:created xsi:type="dcterms:W3CDTF">2025-10-13T22:27:00Z</dcterms:created>
  <dcterms:modified xsi:type="dcterms:W3CDTF">2025-10-13T22:27:00Z</dcterms:modified>
  <cp:contentStatus>&lt;SELECT THE CLASSIFICATION MARKER ABOVE THAT APPLIES TO YOUR DOCUMENT, THEN DELETE THE OTHERS AND THIS TEXT&gt;</cp:contentStatus>
</cp:coreProperties>
</file>