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8C1F5" w14:textId="77777777" w:rsidR="0094124E" w:rsidRDefault="00477982" w:rsidP="0094124E">
      <w:pPr>
        <w:ind w:left="-1418"/>
      </w:pPr>
      <w:r w:rsidRPr="002E718B">
        <w:rPr>
          <w:noProof/>
          <w:lang w:eastAsia="en-AU"/>
        </w:rPr>
        <w:drawing>
          <wp:inline distT="0" distB="0" distL="0" distR="0" wp14:anchorId="102268CD" wp14:editId="131B3F1E">
            <wp:extent cx="7560000" cy="1397710"/>
            <wp:effectExtent l="0" t="0" r="3175" b="0"/>
            <wp:docPr id="2" name="Picture 2" descr="Header banner: Meeting of Cultural Ministers, Statistics work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m-header-banner.png"/>
                    <pic:cNvPicPr/>
                  </pic:nvPicPr>
                  <pic:blipFill rotWithShape="1">
                    <a:blip r:embed="rId11">
                      <a:extLst>
                        <a:ext uri="{28A0092B-C50C-407E-A947-70E740481C1C}">
                          <a14:useLocalDpi xmlns:a14="http://schemas.microsoft.com/office/drawing/2010/main" val="0"/>
                        </a:ext>
                      </a:extLst>
                    </a:blip>
                    <a:srcRect l="1709" t="7699" r="1875" b="1833"/>
                    <a:stretch/>
                  </pic:blipFill>
                  <pic:spPr bwMode="auto">
                    <a:xfrm>
                      <a:off x="0" y="0"/>
                      <a:ext cx="7560000" cy="1397710"/>
                    </a:xfrm>
                    <a:prstGeom prst="rect">
                      <a:avLst/>
                    </a:prstGeom>
                    <a:ln>
                      <a:noFill/>
                    </a:ln>
                    <a:extLst>
                      <a:ext uri="{53640926-AAD7-44D8-BBD7-CCE9431645EC}">
                        <a14:shadowObscured xmlns:a14="http://schemas.microsoft.com/office/drawing/2010/main"/>
                      </a:ext>
                    </a:extLst>
                  </pic:spPr>
                </pic:pic>
              </a:graphicData>
            </a:graphic>
          </wp:inline>
        </w:drawing>
      </w:r>
    </w:p>
    <w:p w14:paraId="37E4CB87" w14:textId="77777777" w:rsidR="00FC16F3" w:rsidRDefault="00FC16F3" w:rsidP="0094124E">
      <w:pPr>
        <w:ind w:left="-1418"/>
        <w:sectPr w:rsidR="00FC16F3" w:rsidSect="00477982">
          <w:headerReference w:type="default" r:id="rId12"/>
          <w:footerReference w:type="default" r:id="rId13"/>
          <w:footerReference w:type="first" r:id="rId14"/>
          <w:type w:val="continuous"/>
          <w:pgSz w:w="11906" w:h="16838"/>
          <w:pgMar w:top="0" w:right="1440" w:bottom="1440" w:left="1440" w:header="0" w:footer="0" w:gutter="0"/>
          <w:cols w:space="708"/>
          <w:titlePg/>
          <w:docGrid w:linePitch="360"/>
        </w:sectPr>
      </w:pPr>
    </w:p>
    <w:p w14:paraId="5F60C019" w14:textId="77777777" w:rsidR="002117E6" w:rsidRDefault="001D64AC" w:rsidP="00477982">
      <w:pPr>
        <w:pStyle w:val="Heading1"/>
      </w:pPr>
      <w:r>
        <w:t>Cultural Funding by Government — 2017</w:t>
      </w:r>
      <w:r w:rsidR="00035573">
        <w:t>–</w:t>
      </w:r>
      <w:r>
        <w:t>18</w:t>
      </w:r>
    </w:p>
    <w:p w14:paraId="1DB678EB" w14:textId="77777777" w:rsidR="00AF5FC0" w:rsidRDefault="00435054" w:rsidP="00AF5FC0">
      <w:pPr>
        <w:pStyle w:val="Heading2"/>
      </w:pPr>
      <w:r>
        <w:rPr>
          <w:szCs w:val="36"/>
        </w:rPr>
        <w:t>Australian</w:t>
      </w:r>
      <w:r w:rsidR="005262D2">
        <w:rPr>
          <w:szCs w:val="36"/>
        </w:rPr>
        <w:t xml:space="preserve"> </w:t>
      </w:r>
      <w:r w:rsidR="001D64AC" w:rsidRPr="00527D9C">
        <w:rPr>
          <w:szCs w:val="36"/>
        </w:rPr>
        <w:t>Government</w:t>
      </w:r>
    </w:p>
    <w:p w14:paraId="7C49902E" w14:textId="77777777" w:rsidR="001D64AC" w:rsidRPr="00303AC1" w:rsidRDefault="00361E74" w:rsidP="001D64AC">
      <w:r>
        <w:t>In 2017–18 t</w:t>
      </w:r>
      <w:r w:rsidR="001D64AC" w:rsidRPr="00303AC1">
        <w:t>he estimate of expenditure</w:t>
      </w:r>
      <w:r>
        <w:t xml:space="preserve"> on cultural activities, </w:t>
      </w:r>
      <w:r w:rsidR="001D64AC" w:rsidRPr="00303AC1">
        <w:t>funded by the</w:t>
      </w:r>
      <w:r w:rsidR="0007783D">
        <w:t xml:space="preserve"> </w:t>
      </w:r>
      <w:r w:rsidR="00435054">
        <w:t>Australian</w:t>
      </w:r>
      <w:r w:rsidR="0007783D">
        <w:t xml:space="preserve"> </w:t>
      </w:r>
      <w:r w:rsidR="001D64AC" w:rsidRPr="00303AC1">
        <w:t>Government</w:t>
      </w:r>
      <w:r>
        <w:t xml:space="preserve">, </w:t>
      </w:r>
      <w:r w:rsidR="001D64AC" w:rsidRPr="00303AC1">
        <w:t xml:space="preserve">was </w:t>
      </w:r>
      <w:r w:rsidR="001D64AC" w:rsidRPr="00E92EB5">
        <w:rPr>
          <w:b/>
        </w:rPr>
        <w:t>$</w:t>
      </w:r>
      <w:r w:rsidR="00435054">
        <w:rPr>
          <w:b/>
        </w:rPr>
        <w:t>2,674.9</w:t>
      </w:r>
      <w:r w:rsidR="001D64AC" w:rsidRPr="00E92EB5">
        <w:rPr>
          <w:b/>
        </w:rPr>
        <w:t>m</w:t>
      </w:r>
      <w:r w:rsidR="007603FD">
        <w:t xml:space="preserve"> representing a rise </w:t>
      </w:r>
      <w:r w:rsidR="005377F7">
        <w:t xml:space="preserve">of </w:t>
      </w:r>
      <w:r w:rsidR="00955A9C">
        <w:t>12</w:t>
      </w:r>
      <w:r w:rsidR="005377F7">
        <w:t>% or $</w:t>
      </w:r>
      <w:r w:rsidR="00955A9C">
        <w:t>291.1</w:t>
      </w:r>
      <w:r w:rsidR="002E2477">
        <w:t>m</w:t>
      </w:r>
      <w:r w:rsidR="005377F7">
        <w:t xml:space="preserve"> from 2016</w:t>
      </w:r>
      <w:r w:rsidR="00035573">
        <w:t>–</w:t>
      </w:r>
      <w:r w:rsidR="005377F7">
        <w:t>17.</w:t>
      </w:r>
      <w:r w:rsidR="00025017">
        <w:t xml:space="preserve"> </w:t>
      </w:r>
    </w:p>
    <w:p w14:paraId="2D2D397C" w14:textId="77777777" w:rsidR="001D64AC" w:rsidRDefault="0024033A" w:rsidP="001D64AC">
      <w:pPr>
        <w:pStyle w:val="Tablefigureheading"/>
      </w:pPr>
      <w:r>
        <w:t>Table</w:t>
      </w:r>
      <w:r w:rsidR="001E56B2">
        <w:t xml:space="preserve"> 1</w:t>
      </w:r>
      <w:r>
        <w:t>—</w:t>
      </w:r>
      <w:r w:rsidR="00435054">
        <w:t xml:space="preserve">Australian </w:t>
      </w:r>
      <w:r w:rsidR="00436F4C">
        <w:t xml:space="preserve">Government </w:t>
      </w:r>
      <w:r w:rsidR="0082186E">
        <w:t>cultural expenditure</w:t>
      </w:r>
      <w:r w:rsidR="00436F4C">
        <w:t>, 2015</w:t>
      </w:r>
      <w:r w:rsidR="00035573">
        <w:t>–</w:t>
      </w:r>
      <w:r w:rsidR="00436F4C">
        <w:t>16 to 2017</w:t>
      </w:r>
      <w:r w:rsidR="00035573">
        <w:t>–</w:t>
      </w:r>
      <w:r w:rsidR="00436F4C">
        <w:t>18</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Caption w:val="Table 1—Australian Government cultural expenditure, 2015–16 to 2017–18"/>
        <w:tblDescription w:val="Table 1—Australian Government cultural expenditure, 2015–16 to 2017–18."/>
      </w:tblPr>
      <w:tblGrid>
        <w:gridCol w:w="1276"/>
        <w:gridCol w:w="1985"/>
        <w:gridCol w:w="1984"/>
      </w:tblGrid>
      <w:tr w:rsidR="001D64AC" w14:paraId="4919F93F" w14:textId="77777777" w:rsidTr="001D64AC">
        <w:trPr>
          <w:cantSplit/>
          <w:tblHeader/>
        </w:trPr>
        <w:tc>
          <w:tcPr>
            <w:tcW w:w="1276" w:type="dxa"/>
            <w:tcBorders>
              <w:top w:val="nil"/>
              <w:left w:val="nil"/>
              <w:bottom w:val="thickThinLargeGap" w:sz="24" w:space="0" w:color="auto"/>
              <w:right w:val="nil"/>
            </w:tcBorders>
            <w:shd w:val="clear" w:color="auto" w:fill="C3AFF7"/>
          </w:tcPr>
          <w:p w14:paraId="3B031ECB" w14:textId="77777777" w:rsidR="001D64AC" w:rsidRDefault="001D64AC">
            <w:pPr>
              <w:pStyle w:val="Tablerowcolumnheading"/>
            </w:pPr>
            <w:bookmarkStart w:id="0" w:name="RowTitle"/>
            <w:r>
              <w:t>2015–16</w:t>
            </w:r>
          </w:p>
        </w:tc>
        <w:tc>
          <w:tcPr>
            <w:tcW w:w="1985" w:type="dxa"/>
            <w:tcBorders>
              <w:top w:val="nil"/>
              <w:left w:val="nil"/>
              <w:bottom w:val="thickThinLargeGap" w:sz="24" w:space="0" w:color="auto"/>
              <w:right w:val="nil"/>
            </w:tcBorders>
            <w:shd w:val="clear" w:color="auto" w:fill="C3AFF7"/>
          </w:tcPr>
          <w:p w14:paraId="01C115EF" w14:textId="77777777" w:rsidR="001D64AC" w:rsidRDefault="001D64AC" w:rsidP="001D64AC">
            <w:pPr>
              <w:pStyle w:val="Tablerowcolumnheadingcentred"/>
            </w:pPr>
            <w:r>
              <w:t>2016–17</w:t>
            </w:r>
          </w:p>
        </w:tc>
        <w:tc>
          <w:tcPr>
            <w:tcW w:w="1984" w:type="dxa"/>
            <w:tcBorders>
              <w:top w:val="nil"/>
              <w:left w:val="nil"/>
              <w:bottom w:val="thickThinLargeGap" w:sz="24" w:space="0" w:color="auto"/>
              <w:right w:val="nil"/>
            </w:tcBorders>
            <w:shd w:val="clear" w:color="auto" w:fill="C3AFF7"/>
          </w:tcPr>
          <w:p w14:paraId="6773308A" w14:textId="77777777" w:rsidR="001D64AC" w:rsidRDefault="001D64AC" w:rsidP="001D64AC">
            <w:pPr>
              <w:pStyle w:val="Tablerowcolumnheadingcentred"/>
            </w:pPr>
            <w:r>
              <w:t>2017–18</w:t>
            </w:r>
          </w:p>
        </w:tc>
      </w:tr>
      <w:bookmarkEnd w:id="0"/>
      <w:tr w:rsidR="001D64AC" w14:paraId="7A1F6B81" w14:textId="77777777" w:rsidTr="001D64AC">
        <w:trPr>
          <w:cantSplit/>
        </w:trPr>
        <w:tc>
          <w:tcPr>
            <w:tcW w:w="1276" w:type="dxa"/>
            <w:tcBorders>
              <w:top w:val="single" w:sz="4" w:space="0" w:color="auto"/>
              <w:left w:val="nil"/>
              <w:bottom w:val="single" w:sz="12" w:space="0" w:color="auto"/>
              <w:right w:val="nil"/>
            </w:tcBorders>
          </w:tcPr>
          <w:p w14:paraId="047BD1F0" w14:textId="77777777" w:rsidR="001D64AC" w:rsidRPr="00303AC1" w:rsidRDefault="001D64AC" w:rsidP="001D64AC">
            <w:pPr>
              <w:pStyle w:val="Tabletext"/>
            </w:pPr>
            <w:r w:rsidRPr="00303AC1">
              <w:t>$</w:t>
            </w:r>
            <w:r w:rsidR="00435054">
              <w:t>2,306.1</w:t>
            </w:r>
            <w:r w:rsidRPr="00303AC1">
              <w:t>m</w:t>
            </w:r>
          </w:p>
        </w:tc>
        <w:tc>
          <w:tcPr>
            <w:tcW w:w="1985" w:type="dxa"/>
            <w:tcBorders>
              <w:top w:val="single" w:sz="4" w:space="0" w:color="auto"/>
              <w:left w:val="nil"/>
              <w:bottom w:val="single" w:sz="12" w:space="0" w:color="auto"/>
              <w:right w:val="nil"/>
            </w:tcBorders>
          </w:tcPr>
          <w:p w14:paraId="1D3194D2" w14:textId="77777777" w:rsidR="001D64AC" w:rsidRPr="00303AC1" w:rsidRDefault="001D64AC" w:rsidP="001D64AC">
            <w:pPr>
              <w:pStyle w:val="Tabletextcentred"/>
            </w:pPr>
            <w:r w:rsidRPr="00303AC1">
              <w:t>$</w:t>
            </w:r>
            <w:r w:rsidR="00435054">
              <w:t>2,383.8</w:t>
            </w:r>
            <w:r w:rsidRPr="00303AC1">
              <w:t>m ↑</w:t>
            </w:r>
            <w:r w:rsidR="00BA1263">
              <w:t xml:space="preserve"> </w:t>
            </w:r>
            <w:r w:rsidR="00955A9C">
              <w:t>3</w:t>
            </w:r>
            <w:r w:rsidRPr="00303AC1">
              <w:t>%</w:t>
            </w:r>
          </w:p>
        </w:tc>
        <w:tc>
          <w:tcPr>
            <w:tcW w:w="1984" w:type="dxa"/>
            <w:tcBorders>
              <w:top w:val="single" w:sz="4" w:space="0" w:color="auto"/>
              <w:left w:val="nil"/>
              <w:bottom w:val="single" w:sz="12" w:space="0" w:color="auto"/>
              <w:right w:val="nil"/>
            </w:tcBorders>
          </w:tcPr>
          <w:p w14:paraId="1226EB59" w14:textId="77777777" w:rsidR="001D64AC" w:rsidRPr="00303AC1" w:rsidRDefault="001D64AC" w:rsidP="001D64AC">
            <w:pPr>
              <w:pStyle w:val="Tabletextcentred"/>
            </w:pPr>
            <w:r w:rsidRPr="00303AC1">
              <w:t>$</w:t>
            </w:r>
            <w:r w:rsidR="00435054">
              <w:t>2,674.9</w:t>
            </w:r>
            <w:r w:rsidRPr="00303AC1">
              <w:t xml:space="preserve">m ↑ </w:t>
            </w:r>
            <w:r w:rsidR="00955A9C">
              <w:t>12</w:t>
            </w:r>
            <w:r w:rsidRPr="00303AC1">
              <w:t>%</w:t>
            </w:r>
          </w:p>
        </w:tc>
      </w:tr>
    </w:tbl>
    <w:p w14:paraId="226C1A38" w14:textId="77777777" w:rsidR="00BD24DC" w:rsidRPr="00BD24DC" w:rsidRDefault="00BD24DC" w:rsidP="00BD24DC">
      <w:pPr>
        <w:pStyle w:val="bullet-arrow"/>
        <w:numPr>
          <w:ilvl w:val="0"/>
          <w:numId w:val="0"/>
        </w:numPr>
      </w:pPr>
    </w:p>
    <w:p w14:paraId="28368E9E" w14:textId="77777777" w:rsidR="00426F0B" w:rsidRDefault="00426F0B" w:rsidP="00FC2425">
      <w:pPr>
        <w:pStyle w:val="bullet-arrow"/>
      </w:pPr>
      <w:r w:rsidRPr="00303AC1">
        <w:t xml:space="preserve">The estimate of per person cultural funding was </w:t>
      </w:r>
      <w:r w:rsidR="00C27A57">
        <w:t>$</w:t>
      </w:r>
      <w:r w:rsidR="005D197F">
        <w:t>10</w:t>
      </w:r>
      <w:r w:rsidR="008C6858">
        <w:t>7.96.</w:t>
      </w:r>
    </w:p>
    <w:p w14:paraId="500A06AF" w14:textId="77777777" w:rsidR="009A2603" w:rsidRDefault="009A2603" w:rsidP="009A2603">
      <w:pPr>
        <w:pStyle w:val="Heading3"/>
      </w:pPr>
      <w:bookmarkStart w:id="1" w:name="_Toc524532894"/>
      <w:bookmarkStart w:id="2" w:name="_Toc521427133"/>
      <w:bookmarkStart w:id="3" w:name="_Toc521318947"/>
      <w:r>
        <w:t>Heritage</w:t>
      </w:r>
      <w:bookmarkEnd w:id="1"/>
      <w:bookmarkEnd w:id="2"/>
      <w:bookmarkEnd w:id="3"/>
    </w:p>
    <w:p w14:paraId="2BAF45C3" w14:textId="77777777" w:rsidR="005607E8" w:rsidRDefault="005607E8" w:rsidP="005607E8">
      <w:r w:rsidRPr="00303AC1">
        <w:t xml:space="preserve">Funds on </w:t>
      </w:r>
      <w:r w:rsidRPr="00CD6DF0">
        <w:rPr>
          <w:i/>
        </w:rPr>
        <w:t>Heritage</w:t>
      </w:r>
      <w:r w:rsidRPr="00303AC1">
        <w:t xml:space="preserve"> activities rose </w:t>
      </w:r>
      <w:r w:rsidR="00955A9C">
        <w:t>29</w:t>
      </w:r>
      <w:r w:rsidRPr="00303AC1">
        <w:t>% (or $</w:t>
      </w:r>
      <w:r w:rsidR="00955A9C">
        <w:t>137.7</w:t>
      </w:r>
      <w:r w:rsidRPr="00303AC1">
        <w:t>m) to $</w:t>
      </w:r>
      <w:r w:rsidR="00955A9C">
        <w:t>611.3</w:t>
      </w:r>
      <w:r w:rsidRPr="00303AC1">
        <w:t>m.</w:t>
      </w:r>
      <w:r>
        <w:t xml:space="preserve"> </w:t>
      </w:r>
    </w:p>
    <w:p w14:paraId="7E1409AD" w14:textId="77777777" w:rsidR="005607E8" w:rsidRDefault="005607E8" w:rsidP="005607E8">
      <w:r w:rsidRPr="00303AC1">
        <w:t xml:space="preserve">This increase was driven by expenditure on the categories of </w:t>
      </w:r>
      <w:r w:rsidR="00955A9C">
        <w:rPr>
          <w:i/>
        </w:rPr>
        <w:t>Other museums and cultural heritage</w:t>
      </w:r>
      <w:r w:rsidR="00955A9C" w:rsidRPr="00303AC1">
        <w:t xml:space="preserve"> (↑$</w:t>
      </w:r>
      <w:r w:rsidR="00661DF5">
        <w:t>84.5</w:t>
      </w:r>
      <w:r w:rsidR="00955A9C" w:rsidRPr="00303AC1">
        <w:t>m)</w:t>
      </w:r>
      <w:r w:rsidR="00661DF5">
        <w:t xml:space="preserve">, </w:t>
      </w:r>
      <w:r>
        <w:rPr>
          <w:i/>
        </w:rPr>
        <w:t>Libraries</w:t>
      </w:r>
      <w:r w:rsidRPr="00303AC1">
        <w:t xml:space="preserve"> (↑$</w:t>
      </w:r>
      <w:r w:rsidR="00661DF5">
        <w:t>32.9</w:t>
      </w:r>
      <w:r w:rsidRPr="00303AC1">
        <w:t>m)</w:t>
      </w:r>
      <w:r w:rsidR="00661DF5">
        <w:t xml:space="preserve"> and </w:t>
      </w:r>
      <w:r w:rsidR="00661DF5" w:rsidRPr="00661DF5">
        <w:rPr>
          <w:i/>
        </w:rPr>
        <w:t>Art museums</w:t>
      </w:r>
      <w:r w:rsidR="00661DF5">
        <w:t xml:space="preserve"> </w:t>
      </w:r>
      <w:r w:rsidR="00661DF5" w:rsidRPr="00303AC1">
        <w:t>(↑$</w:t>
      </w:r>
      <w:r w:rsidR="00661DF5">
        <w:t>22.4</w:t>
      </w:r>
      <w:r w:rsidR="00661DF5" w:rsidRPr="00303AC1">
        <w:t>m)</w:t>
      </w:r>
      <w:r w:rsidR="00661DF5">
        <w:t>.</w:t>
      </w:r>
    </w:p>
    <w:p w14:paraId="61C428C2" w14:textId="77777777" w:rsidR="001D64AC" w:rsidRDefault="00426F0B" w:rsidP="00426F0B">
      <w:r w:rsidRPr="007312EE">
        <w:t xml:space="preserve">The largest categories </w:t>
      </w:r>
      <w:r w:rsidRPr="00303AC1">
        <w:t xml:space="preserve">of </w:t>
      </w:r>
      <w:r w:rsidRPr="00E92EB5">
        <w:rPr>
          <w:i/>
        </w:rPr>
        <w:t>Heritage</w:t>
      </w:r>
      <w:r w:rsidRPr="00303AC1">
        <w:t xml:space="preserve"> expenditure were </w:t>
      </w:r>
      <w:r w:rsidR="00661DF5">
        <w:rPr>
          <w:i/>
        </w:rPr>
        <w:t>Other museums and cultural heritage</w:t>
      </w:r>
      <w:r w:rsidR="0009659E" w:rsidRPr="00303AC1">
        <w:t xml:space="preserve"> </w:t>
      </w:r>
      <w:r w:rsidRPr="00303AC1">
        <w:t>with $</w:t>
      </w:r>
      <w:r w:rsidR="00661DF5">
        <w:t>290.3</w:t>
      </w:r>
      <w:r w:rsidRPr="00303AC1">
        <w:t>m</w:t>
      </w:r>
      <w:r w:rsidR="00D47936">
        <w:t xml:space="preserve"> </w:t>
      </w:r>
      <w:r w:rsidRPr="00303AC1">
        <w:t xml:space="preserve">followed by </w:t>
      </w:r>
      <w:r w:rsidR="00661DF5">
        <w:rPr>
          <w:i/>
        </w:rPr>
        <w:t>Archives</w:t>
      </w:r>
      <w:r w:rsidR="007312EE" w:rsidRPr="00303AC1">
        <w:t xml:space="preserve"> </w:t>
      </w:r>
      <w:r w:rsidRPr="00303AC1">
        <w:t>with $</w:t>
      </w:r>
      <w:r w:rsidR="00661DF5">
        <w:t>122.1</w:t>
      </w:r>
      <w:r w:rsidRPr="00303AC1">
        <w:t>m.</w:t>
      </w:r>
      <w:r w:rsidR="00D47936">
        <w:t xml:space="preserve"> </w:t>
      </w:r>
    </w:p>
    <w:p w14:paraId="3D5C7E82" w14:textId="77777777" w:rsidR="001D64AC" w:rsidRPr="00303AC1" w:rsidRDefault="001D64AC" w:rsidP="001D64AC">
      <w:pPr>
        <w:pStyle w:val="Tablefigureheading"/>
      </w:pPr>
      <w:bookmarkStart w:id="4" w:name="_Toc524533023"/>
      <w:r w:rsidRPr="00303AC1">
        <w:t xml:space="preserve">Figure 1. </w:t>
      </w:r>
      <w:r w:rsidR="00435054">
        <w:t>Australian</w:t>
      </w:r>
      <w:r w:rsidRPr="00303AC1">
        <w:t xml:space="preserve"> Government heritage expenditure</w:t>
      </w:r>
      <w:bookmarkEnd w:id="4"/>
    </w:p>
    <w:p w14:paraId="206E0783" w14:textId="77777777" w:rsidR="009A2603" w:rsidRDefault="00035573" w:rsidP="001D64AC">
      <w:r>
        <w:rPr>
          <w:noProof/>
          <w:lang w:eastAsia="en-AU"/>
        </w:rPr>
        <w:drawing>
          <wp:inline distT="0" distB="0" distL="0" distR="0" wp14:anchorId="43E5F54B" wp14:editId="68000A4C">
            <wp:extent cx="4008120" cy="2499360"/>
            <wp:effectExtent l="0" t="0" r="0" b="0"/>
            <wp:docPr id="1" name="Picture 1" descr="Figure 1. Australian Government heritage expenditure.&#10;&#10;A column graph compares expenditure across the heritage categories of Art museums, Other museums and cultural heritage, Libraries and Archives between the financial years of 2015-16, 2016-17 and 2017-18 for Australian Government." title="Figure 1. Australian Government heritage expend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008120" cy="2499360"/>
                    </a:xfrm>
                    <a:prstGeom prst="rect">
                      <a:avLst/>
                    </a:prstGeom>
                  </pic:spPr>
                </pic:pic>
              </a:graphicData>
            </a:graphic>
          </wp:inline>
        </w:drawing>
      </w:r>
    </w:p>
    <w:p w14:paraId="3822EE9A" w14:textId="77777777" w:rsidR="009A2603" w:rsidRDefault="009A2603" w:rsidP="009A2603">
      <w:pPr>
        <w:pStyle w:val="Heading3"/>
      </w:pPr>
      <w:bookmarkStart w:id="5" w:name="_Toc524532895"/>
      <w:bookmarkStart w:id="6" w:name="_Toc521427134"/>
      <w:bookmarkStart w:id="7" w:name="_Toc521318948"/>
      <w:r>
        <w:t>Arts</w:t>
      </w:r>
      <w:bookmarkEnd w:id="5"/>
      <w:bookmarkEnd w:id="6"/>
      <w:bookmarkEnd w:id="7"/>
    </w:p>
    <w:p w14:paraId="2F2864C2" w14:textId="77777777" w:rsidR="00BD24DC" w:rsidRPr="009D2D80" w:rsidRDefault="00BD24DC" w:rsidP="00BD24DC">
      <w:pPr>
        <w:pStyle w:val="bullet-arrow"/>
        <w:numPr>
          <w:ilvl w:val="0"/>
          <w:numId w:val="0"/>
        </w:numPr>
      </w:pPr>
      <w:r w:rsidRPr="009D2D80">
        <w:t xml:space="preserve">The majority (77%) of funding by the Australian Government for cultural activities was allocated to </w:t>
      </w:r>
      <w:r w:rsidRPr="009D2D80">
        <w:rPr>
          <w:i/>
        </w:rPr>
        <w:t>Arts</w:t>
      </w:r>
      <w:r w:rsidRPr="009D2D80">
        <w:t xml:space="preserve"> activities.</w:t>
      </w:r>
    </w:p>
    <w:p w14:paraId="3BAE4603" w14:textId="77777777" w:rsidR="00441A51" w:rsidRDefault="001D64AC" w:rsidP="001D64AC">
      <w:r w:rsidRPr="005C7EE7">
        <w:t xml:space="preserve">Funds for </w:t>
      </w:r>
      <w:r w:rsidRPr="005C7EE7">
        <w:rPr>
          <w:i/>
        </w:rPr>
        <w:t>Arts</w:t>
      </w:r>
      <w:r w:rsidRPr="005C7EE7">
        <w:t xml:space="preserve"> activities </w:t>
      </w:r>
      <w:r w:rsidRPr="00303AC1">
        <w:t xml:space="preserve">rose </w:t>
      </w:r>
      <w:r w:rsidR="00606D51">
        <w:t>8</w:t>
      </w:r>
      <w:r w:rsidRPr="00303AC1">
        <w:t>% (or $</w:t>
      </w:r>
      <w:r w:rsidR="00606D51">
        <w:t>153.4</w:t>
      </w:r>
      <w:r w:rsidRPr="00303AC1">
        <w:t>m) to $</w:t>
      </w:r>
      <w:r w:rsidR="00606D51">
        <w:t>2,063.6</w:t>
      </w:r>
      <w:r w:rsidRPr="00303AC1">
        <w:t>m</w:t>
      </w:r>
      <w:r w:rsidR="0024033A">
        <w:t>.</w:t>
      </w:r>
    </w:p>
    <w:p w14:paraId="27C0AB45" w14:textId="77777777" w:rsidR="00877172" w:rsidRDefault="00ED7D65" w:rsidP="00877172">
      <w:r>
        <w:t>T</w:t>
      </w:r>
      <w:r w:rsidR="00E54D63">
        <w:t>h</w:t>
      </w:r>
      <w:r w:rsidR="00877172">
        <w:t>e</w:t>
      </w:r>
      <w:r w:rsidR="00880D08" w:rsidRPr="00CC5725">
        <w:t xml:space="preserve"> main contributors to this movement were </w:t>
      </w:r>
      <w:r w:rsidR="00CB00B4" w:rsidRPr="00877172">
        <w:rPr>
          <w:i/>
        </w:rPr>
        <w:t>Community arts and cultural development</w:t>
      </w:r>
      <w:r w:rsidR="00880D08" w:rsidRPr="00303AC1">
        <w:t xml:space="preserve"> ↑$</w:t>
      </w:r>
      <w:r w:rsidR="00CB00B4">
        <w:t>60.</w:t>
      </w:r>
      <w:r w:rsidR="00877172">
        <w:t>6</w:t>
      </w:r>
      <w:r w:rsidR="00880D08" w:rsidRPr="00303AC1">
        <w:t>m</w:t>
      </w:r>
      <w:r w:rsidR="00880D08">
        <w:t xml:space="preserve">, </w:t>
      </w:r>
      <w:r w:rsidR="00CB00B4" w:rsidRPr="00877172">
        <w:rPr>
          <w:i/>
        </w:rPr>
        <w:t>Theatre</w:t>
      </w:r>
      <w:r w:rsidR="00E54D63">
        <w:t xml:space="preserve"> </w:t>
      </w:r>
      <w:r w:rsidR="00E54D63" w:rsidRPr="00303AC1">
        <w:t>↑$</w:t>
      </w:r>
      <w:r w:rsidR="00CB00B4">
        <w:t>41.4m</w:t>
      </w:r>
      <w:r w:rsidR="00E54D63">
        <w:t xml:space="preserve"> </w:t>
      </w:r>
      <w:r w:rsidR="00880D08">
        <w:t xml:space="preserve">and </w:t>
      </w:r>
      <w:r w:rsidR="00CB00B4" w:rsidRPr="00877172">
        <w:rPr>
          <w:i/>
        </w:rPr>
        <w:t>Performing art venues</w:t>
      </w:r>
      <w:r w:rsidR="0009659E" w:rsidRPr="00303AC1">
        <w:t xml:space="preserve"> </w:t>
      </w:r>
      <w:r w:rsidR="00880D08" w:rsidRPr="00303AC1">
        <w:t>↑$</w:t>
      </w:r>
      <w:r w:rsidR="00CB00B4">
        <w:t>27.</w:t>
      </w:r>
      <w:r w:rsidR="00CE2959">
        <w:t>4</w:t>
      </w:r>
      <w:r w:rsidR="00880D08" w:rsidRPr="00303AC1">
        <w:t>m</w:t>
      </w:r>
      <w:r w:rsidR="00880D08">
        <w:t>.</w:t>
      </w:r>
      <w:r w:rsidR="00FE6CBA">
        <w:t xml:space="preserve"> </w:t>
      </w:r>
      <w:r w:rsidR="00E54D63">
        <w:t xml:space="preserve">Conversely, funding for </w:t>
      </w:r>
      <w:r w:rsidR="00CB00B4" w:rsidRPr="00877172">
        <w:rPr>
          <w:i/>
        </w:rPr>
        <w:t>Film and video production and distribution</w:t>
      </w:r>
      <w:r w:rsidR="00E54D63" w:rsidRPr="00877172">
        <w:rPr>
          <w:i/>
        </w:rPr>
        <w:t xml:space="preserve"> </w:t>
      </w:r>
      <w:r w:rsidR="00E54D63" w:rsidRPr="00E54D63">
        <w:t>dropped</w:t>
      </w:r>
      <w:r w:rsidR="00E54D63">
        <w:t xml:space="preserve"> $</w:t>
      </w:r>
      <w:r w:rsidR="00CB00B4">
        <w:t>15.8</w:t>
      </w:r>
      <w:r w:rsidR="00E54D63">
        <w:t>m.</w:t>
      </w:r>
      <w:r w:rsidR="00877172" w:rsidRPr="00877172">
        <w:t xml:space="preserve"> </w:t>
      </w:r>
    </w:p>
    <w:p w14:paraId="2577492A" w14:textId="77777777" w:rsidR="001D64AC" w:rsidRPr="00303AC1" w:rsidRDefault="001D64AC" w:rsidP="001D64AC">
      <w:pPr>
        <w:pStyle w:val="Tablefigureheading"/>
      </w:pPr>
      <w:bookmarkStart w:id="8" w:name="_Toc524533024"/>
      <w:r w:rsidRPr="00303AC1">
        <w:t xml:space="preserve">Figure 2. </w:t>
      </w:r>
      <w:r w:rsidR="00435054">
        <w:t>Australian</w:t>
      </w:r>
      <w:r w:rsidRPr="00303AC1">
        <w:t xml:space="preserve"> Government arts expenditure, by selected categories</w:t>
      </w:r>
      <w:bookmarkEnd w:id="8"/>
    </w:p>
    <w:p w14:paraId="6C3E9497" w14:textId="77777777" w:rsidR="00436F4C" w:rsidRDefault="008B2203" w:rsidP="001D64AC">
      <w:r>
        <w:rPr>
          <w:noProof/>
          <w:lang w:eastAsia="en-AU"/>
        </w:rPr>
        <w:drawing>
          <wp:inline distT="0" distB="0" distL="0" distR="0" wp14:anchorId="5348FEDE" wp14:editId="32666025">
            <wp:extent cx="4823460" cy="2499360"/>
            <wp:effectExtent l="0" t="0" r="0" b="0"/>
            <wp:docPr id="12" name="Picture 12" descr="Figure 2. Australian Government arts expenditure, by selected categories.&#10;&#10;A column graph compares expenditure across selected arts categories of Music, Theatre, Visual arts and crafts, Radio and television services, Film and video production and distribution, Community arts and cultural development and Arts administration between the financial years of 2015-16, 2016-17 and 2017-18 for Australian Government.&#10;" title="Figure 2. Australian Government arts expenditure, by selected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823460" cy="2499360"/>
                    </a:xfrm>
                    <a:prstGeom prst="rect">
                      <a:avLst/>
                    </a:prstGeom>
                  </pic:spPr>
                </pic:pic>
              </a:graphicData>
            </a:graphic>
          </wp:inline>
        </w:drawing>
      </w:r>
    </w:p>
    <w:p w14:paraId="37D757DF" w14:textId="77777777" w:rsidR="00903111" w:rsidRDefault="000302BC" w:rsidP="001D64AC">
      <w:r w:rsidRPr="000302BC">
        <w:t>Funding for</w:t>
      </w:r>
      <w:r>
        <w:rPr>
          <w:i/>
        </w:rPr>
        <w:t xml:space="preserve"> Radio and television services</w:t>
      </w:r>
      <w:r w:rsidR="00903111" w:rsidRPr="00CC5725">
        <w:t xml:space="preserve"> ($</w:t>
      </w:r>
      <w:r>
        <w:t>1,418.5</w:t>
      </w:r>
      <w:r w:rsidR="00903111" w:rsidRPr="00CC5725">
        <w:t xml:space="preserve">m), accounted for </w:t>
      </w:r>
      <w:r w:rsidR="00294F14">
        <w:t>over</w:t>
      </w:r>
      <w:r>
        <w:t xml:space="preserve"> two</w:t>
      </w:r>
      <w:r w:rsidR="00903111" w:rsidRPr="00CC5725">
        <w:t>-third</w:t>
      </w:r>
      <w:r>
        <w:t>s</w:t>
      </w:r>
      <w:r w:rsidR="00903111" w:rsidRPr="00CC5725">
        <w:t xml:space="preserve"> (</w:t>
      </w:r>
      <w:r w:rsidR="00185BD8">
        <w:t xml:space="preserve">or </w:t>
      </w:r>
      <w:r>
        <w:t>69</w:t>
      </w:r>
      <w:r w:rsidR="00903111" w:rsidRPr="00CC5725">
        <w:t xml:space="preserve">%) of all expenditure by the </w:t>
      </w:r>
      <w:r>
        <w:t xml:space="preserve">Australian </w:t>
      </w:r>
      <w:r w:rsidR="00903111" w:rsidRPr="00CC5725">
        <w:t xml:space="preserve">Government on </w:t>
      </w:r>
      <w:r w:rsidR="00903111" w:rsidRPr="00241E1C">
        <w:rPr>
          <w:i/>
        </w:rPr>
        <w:t>Arts</w:t>
      </w:r>
      <w:r w:rsidR="00903111" w:rsidRPr="00CC5725">
        <w:t xml:space="preserve"> activities.</w:t>
      </w:r>
    </w:p>
    <w:p w14:paraId="5B52D8F5" w14:textId="77777777" w:rsidR="005377F7" w:rsidRDefault="00903111" w:rsidP="00880D08">
      <w:r>
        <w:t>Other</w:t>
      </w:r>
      <w:r w:rsidR="001D64AC" w:rsidRPr="00303AC1">
        <w:t xml:space="preserve"> main categories of </w:t>
      </w:r>
      <w:r w:rsidR="001D64AC" w:rsidRPr="00E92EB5">
        <w:rPr>
          <w:i/>
        </w:rPr>
        <w:t>Arts</w:t>
      </w:r>
      <w:r w:rsidR="001D64AC" w:rsidRPr="00303AC1">
        <w:t xml:space="preserve"> activit</w:t>
      </w:r>
      <w:r w:rsidR="00ED7D65">
        <w:t>ies</w:t>
      </w:r>
      <w:r w:rsidR="001D64AC" w:rsidRPr="00303AC1">
        <w:t xml:space="preserve"> funding were:</w:t>
      </w:r>
    </w:p>
    <w:p w14:paraId="145A0BC5" w14:textId="77777777" w:rsidR="00ED7D65" w:rsidRDefault="002E5E65" w:rsidP="00FC2425">
      <w:pPr>
        <w:pStyle w:val="Bulletlevel1"/>
      </w:pPr>
      <w:r w:rsidRPr="00FC2425">
        <w:rPr>
          <w:i/>
        </w:rPr>
        <w:t>Film and video production and distribution</w:t>
      </w:r>
      <w:r w:rsidR="00880D08" w:rsidRPr="00CC5725">
        <w:t>—$</w:t>
      </w:r>
      <w:r>
        <w:t>110.9</w:t>
      </w:r>
      <w:r w:rsidR="00ED7D65">
        <w:t>m</w:t>
      </w:r>
    </w:p>
    <w:p w14:paraId="5D823318" w14:textId="77777777" w:rsidR="00ED7D65" w:rsidRDefault="002E5E65" w:rsidP="00FC2425">
      <w:pPr>
        <w:pStyle w:val="Bulletlevel1"/>
      </w:pPr>
      <w:r w:rsidRPr="00FC2425">
        <w:rPr>
          <w:i/>
        </w:rPr>
        <w:t>Community arts and cultural development</w:t>
      </w:r>
      <w:r w:rsidR="00880D08" w:rsidRPr="00CC5725">
        <w:t>—$</w:t>
      </w:r>
      <w:r>
        <w:t>80.0</w:t>
      </w:r>
      <w:r w:rsidR="00880D08" w:rsidRPr="00CC5725">
        <w:t>m</w:t>
      </w:r>
    </w:p>
    <w:p w14:paraId="66EF1834" w14:textId="77777777" w:rsidR="00880D08" w:rsidRDefault="006C18BE" w:rsidP="00FC2425">
      <w:pPr>
        <w:pStyle w:val="Bulletlevel1"/>
      </w:pPr>
      <w:r w:rsidRPr="00FC2425">
        <w:rPr>
          <w:i/>
        </w:rPr>
        <w:t>Music</w:t>
      </w:r>
      <w:r w:rsidR="00880D08" w:rsidRPr="00CC5725">
        <w:t>—$</w:t>
      </w:r>
      <w:r w:rsidR="002E5E65">
        <w:t>74.8</w:t>
      </w:r>
      <w:r w:rsidR="00880D08" w:rsidRPr="00CC5725">
        <w:t>m</w:t>
      </w:r>
    </w:p>
    <w:p w14:paraId="7D805FB9" w14:textId="77777777" w:rsidR="00903111" w:rsidRDefault="002E5E65" w:rsidP="00FC2425">
      <w:pPr>
        <w:pStyle w:val="Bulletlevel1"/>
      </w:pPr>
      <w:r w:rsidRPr="00FC2425">
        <w:rPr>
          <w:i/>
        </w:rPr>
        <w:t>Theatre</w:t>
      </w:r>
      <w:r w:rsidR="00903111" w:rsidRPr="00CC5725">
        <w:t>—$</w:t>
      </w:r>
      <w:r>
        <w:t>70.3</w:t>
      </w:r>
      <w:r w:rsidR="00903111" w:rsidRPr="00CC5725">
        <w:t>m</w:t>
      </w:r>
    </w:p>
    <w:p w14:paraId="40E53E6F" w14:textId="77777777" w:rsidR="009A2603" w:rsidRDefault="002E5E65" w:rsidP="005377F7">
      <w:pPr>
        <w:pStyle w:val="Bulletlevel1"/>
      </w:pPr>
      <w:r w:rsidRPr="00FC2425">
        <w:rPr>
          <w:i/>
        </w:rPr>
        <w:t>Visual arts and crafts</w:t>
      </w:r>
      <w:r w:rsidR="00185BD8" w:rsidRPr="00CC5725">
        <w:t>—$</w:t>
      </w:r>
      <w:r>
        <w:t>50.3</w:t>
      </w:r>
      <w:r w:rsidR="00185BD8" w:rsidRPr="00CC5725">
        <w:t>m</w:t>
      </w:r>
      <w:r w:rsidR="00185BD8">
        <w:t>.</w:t>
      </w:r>
    </w:p>
    <w:p w14:paraId="3598F67A" w14:textId="77777777" w:rsidR="009A2603" w:rsidRDefault="009A2603" w:rsidP="009A2603">
      <w:pPr>
        <w:pStyle w:val="Heading3"/>
      </w:pPr>
      <w:bookmarkStart w:id="9" w:name="_Toc524532902"/>
      <w:bookmarkStart w:id="10" w:name="_Toc521427141"/>
      <w:r>
        <w:t>Recurrent expenditure</w:t>
      </w:r>
      <w:bookmarkEnd w:id="9"/>
      <w:bookmarkEnd w:id="10"/>
    </w:p>
    <w:p w14:paraId="48346B1B" w14:textId="77777777" w:rsidR="005377F7" w:rsidRPr="009D2D80" w:rsidRDefault="005377F7" w:rsidP="00BD24DC">
      <w:pPr>
        <w:pStyle w:val="bullet-arrow"/>
        <w:numPr>
          <w:ilvl w:val="0"/>
          <w:numId w:val="0"/>
        </w:numPr>
        <w:spacing w:before="240"/>
      </w:pPr>
      <w:r w:rsidRPr="009D2D80">
        <w:t xml:space="preserve">Recurrent expenditure rose </w:t>
      </w:r>
      <w:r w:rsidR="00F73B65" w:rsidRPr="009D2D80">
        <w:t>6</w:t>
      </w:r>
      <w:r w:rsidRPr="009D2D80">
        <w:t>% (or $</w:t>
      </w:r>
      <w:r w:rsidR="00F73B65" w:rsidRPr="009D2D80">
        <w:t>122.5</w:t>
      </w:r>
      <w:r w:rsidRPr="009D2D80">
        <w:t>m) to $</w:t>
      </w:r>
      <w:r w:rsidR="00F73B65" w:rsidRPr="009D2D80">
        <w:t>2,307.6</w:t>
      </w:r>
      <w:r w:rsidRPr="009D2D80">
        <w:t>m</w:t>
      </w:r>
      <w:r w:rsidR="00BD24DC" w:rsidRPr="009D2D80">
        <w:t xml:space="preserve"> and accounted for 86% of funded cultural expenditure. </w:t>
      </w:r>
    </w:p>
    <w:p w14:paraId="1DFDBAE9" w14:textId="77777777" w:rsidR="00221CCC" w:rsidRPr="009D2D80" w:rsidRDefault="00221CCC" w:rsidP="005377F7">
      <w:r w:rsidRPr="009D2D80">
        <w:t xml:space="preserve">The largest recurrent expenditure was for </w:t>
      </w:r>
      <w:r w:rsidR="00A245C6" w:rsidRPr="009D2D80">
        <w:rPr>
          <w:i/>
        </w:rPr>
        <w:t>Radio and television services</w:t>
      </w:r>
      <w:r w:rsidRPr="009D2D80">
        <w:t>, $</w:t>
      </w:r>
      <w:r w:rsidR="00A245C6" w:rsidRPr="009D2D80">
        <w:t>1,356.7</w:t>
      </w:r>
      <w:r w:rsidRPr="009D2D80">
        <w:t>m, followed by</w:t>
      </w:r>
      <w:r w:rsidR="00A245C6" w:rsidRPr="009D2D80">
        <w:rPr>
          <w:i/>
        </w:rPr>
        <w:t xml:space="preserve"> Other museums and cultural heritage</w:t>
      </w:r>
      <w:r w:rsidR="00A245C6" w:rsidRPr="009D2D80">
        <w:t xml:space="preserve"> </w:t>
      </w:r>
      <w:r w:rsidRPr="009D2D80">
        <w:t>(</w:t>
      </w:r>
      <w:r w:rsidR="00EC2D82" w:rsidRPr="009D2D80">
        <w:t>$</w:t>
      </w:r>
      <w:r w:rsidR="00A245C6" w:rsidRPr="009D2D80">
        <w:t>228.4</w:t>
      </w:r>
      <w:r w:rsidRPr="009D2D80">
        <w:t>m)</w:t>
      </w:r>
      <w:r w:rsidR="00236A01" w:rsidRPr="009D2D80">
        <w:t>.</w:t>
      </w:r>
    </w:p>
    <w:p w14:paraId="29F836CA" w14:textId="77777777" w:rsidR="009A2603" w:rsidRPr="009D2D80" w:rsidRDefault="009A2603" w:rsidP="009A2603">
      <w:r w:rsidRPr="009D2D80">
        <w:t>Other main categories of recurrent expenditure were:</w:t>
      </w:r>
    </w:p>
    <w:p w14:paraId="325ABB6D" w14:textId="77777777" w:rsidR="00236A01" w:rsidRPr="009D2D80" w:rsidRDefault="00236A01" w:rsidP="009A2603">
      <w:pPr>
        <w:pStyle w:val="Bulletlevel1"/>
        <w:numPr>
          <w:ilvl w:val="0"/>
          <w:numId w:val="10"/>
        </w:numPr>
        <w:spacing w:before="240"/>
        <w:ind w:left="567" w:hanging="567"/>
      </w:pPr>
      <w:r w:rsidRPr="009D2D80">
        <w:rPr>
          <w:i/>
        </w:rPr>
        <w:t>Archives</w:t>
      </w:r>
      <w:r w:rsidRPr="009D2D80">
        <w:t>—$114.6m</w:t>
      </w:r>
    </w:p>
    <w:p w14:paraId="5DD5087B" w14:textId="77777777" w:rsidR="009A2603" w:rsidRPr="009D2D80" w:rsidRDefault="00236A01" w:rsidP="009A2603">
      <w:pPr>
        <w:pStyle w:val="Bulletlevel1"/>
        <w:numPr>
          <w:ilvl w:val="0"/>
          <w:numId w:val="10"/>
        </w:numPr>
        <w:spacing w:before="240"/>
        <w:ind w:left="567" w:hanging="567"/>
      </w:pPr>
      <w:r w:rsidRPr="009D2D80">
        <w:rPr>
          <w:i/>
        </w:rPr>
        <w:t>Film and video production and distribution</w:t>
      </w:r>
      <w:r w:rsidR="009A2603" w:rsidRPr="009D2D80">
        <w:t>—$</w:t>
      </w:r>
      <w:r w:rsidRPr="009D2D80">
        <w:t>110.9</w:t>
      </w:r>
      <w:r w:rsidR="009A2603" w:rsidRPr="009D2D80">
        <w:t>m</w:t>
      </w:r>
    </w:p>
    <w:p w14:paraId="50B34640" w14:textId="77777777" w:rsidR="009A2603" w:rsidRPr="009D2D80" w:rsidRDefault="00236A01" w:rsidP="009A2603">
      <w:pPr>
        <w:pStyle w:val="Bulletlevel1"/>
        <w:numPr>
          <w:ilvl w:val="0"/>
          <w:numId w:val="10"/>
        </w:numPr>
        <w:spacing w:before="240"/>
        <w:ind w:left="567" w:hanging="567"/>
      </w:pPr>
      <w:r w:rsidRPr="009D2D80">
        <w:rPr>
          <w:i/>
        </w:rPr>
        <w:t>Music</w:t>
      </w:r>
      <w:r w:rsidR="009A2603" w:rsidRPr="009D2D80">
        <w:t>—$</w:t>
      </w:r>
      <w:r w:rsidRPr="009D2D80">
        <w:t>74.3</w:t>
      </w:r>
      <w:r w:rsidR="009A2603" w:rsidRPr="009D2D80">
        <w:t>m</w:t>
      </w:r>
    </w:p>
    <w:p w14:paraId="089AF0DA" w14:textId="77777777" w:rsidR="009A2603" w:rsidRPr="009D2D80" w:rsidRDefault="00236A01" w:rsidP="009A2603">
      <w:pPr>
        <w:pStyle w:val="Bulletlevel1"/>
        <w:numPr>
          <w:ilvl w:val="0"/>
          <w:numId w:val="10"/>
        </w:numPr>
        <w:spacing w:before="240"/>
        <w:ind w:left="567" w:hanging="567"/>
      </w:pPr>
      <w:r w:rsidRPr="009D2D80">
        <w:rPr>
          <w:i/>
        </w:rPr>
        <w:t>Libraries</w:t>
      </w:r>
      <w:r w:rsidR="009A2603" w:rsidRPr="009D2D80">
        <w:t>—$</w:t>
      </w:r>
      <w:r w:rsidRPr="009D2D80">
        <w:t>68.6</w:t>
      </w:r>
      <w:r w:rsidR="009A2603" w:rsidRPr="009D2D80">
        <w:t>m</w:t>
      </w:r>
      <w:r w:rsidRPr="009D2D80">
        <w:t>.</w:t>
      </w:r>
      <w:bookmarkStart w:id="11" w:name="_GoBack"/>
      <w:bookmarkEnd w:id="11"/>
    </w:p>
    <w:p w14:paraId="0118CF1C" w14:textId="77777777" w:rsidR="001D64AC" w:rsidRPr="00303AC1" w:rsidRDefault="001D64AC" w:rsidP="001D64AC">
      <w:pPr>
        <w:pStyle w:val="Tablefigureheading"/>
      </w:pPr>
      <w:r w:rsidRPr="00303AC1">
        <w:t xml:space="preserve">Figure 3. </w:t>
      </w:r>
      <w:r w:rsidR="00435054">
        <w:t>Australian</w:t>
      </w:r>
      <w:r w:rsidRPr="00303AC1">
        <w:t xml:space="preserve"> Government recurrent cultural expenditure, by selected categories</w:t>
      </w:r>
    </w:p>
    <w:p w14:paraId="2FCE13EE" w14:textId="77777777" w:rsidR="00221CCC" w:rsidRDefault="008B2203" w:rsidP="001D64AC">
      <w:r>
        <w:rPr>
          <w:noProof/>
          <w:lang w:eastAsia="en-AU"/>
        </w:rPr>
        <w:drawing>
          <wp:inline distT="0" distB="0" distL="0" distR="0" wp14:anchorId="5D9AFEC0" wp14:editId="1E2BE418">
            <wp:extent cx="4556760" cy="2438400"/>
            <wp:effectExtent l="0" t="0" r="0" b="0"/>
            <wp:docPr id="13" name="Picture 13" descr="Figure 3. Australian Government recurrent cultural expenditure, by selected categories.&#10;&#10;A bar chart compares recurrent expenditure across selected  categories of Art museums, Other museums and cultural heritage, Libraries, Archives, Music, Radio and television services, Film and video production and distribution, Arts education and Multi-arts festivals between the financial years of 2015-16, 2016-17 and 2017-18 for Australian Government." title="Figure 3. Australian Government recurrent cultural expenditure, by selected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56760" cy="2438400"/>
                    </a:xfrm>
                    <a:prstGeom prst="rect">
                      <a:avLst/>
                    </a:prstGeom>
                  </pic:spPr>
                </pic:pic>
              </a:graphicData>
            </a:graphic>
          </wp:inline>
        </w:drawing>
      </w:r>
    </w:p>
    <w:p w14:paraId="0FDF5221" w14:textId="77777777" w:rsidR="009A2603" w:rsidRDefault="009A2603" w:rsidP="009A2603">
      <w:pPr>
        <w:pStyle w:val="Heading3"/>
      </w:pPr>
      <w:r>
        <w:t>Capital expenditure</w:t>
      </w:r>
    </w:p>
    <w:p w14:paraId="055E719A" w14:textId="77777777" w:rsidR="005D4115" w:rsidRPr="009D2D80" w:rsidRDefault="005D4115" w:rsidP="005D4115">
      <w:r w:rsidRPr="009D2D80">
        <w:t>Capital expenditure rose 85% (or $168.6m) to $367.2m</w:t>
      </w:r>
      <w:r w:rsidR="00142132" w:rsidRPr="009D2D80">
        <w:t xml:space="preserve"> in 2017-18 </w:t>
      </w:r>
      <w:r w:rsidRPr="009D2D80">
        <w:t>and accounted for 14%</w:t>
      </w:r>
      <w:r w:rsidR="00142132" w:rsidRPr="009D2D80">
        <w:t xml:space="preserve"> of Australian Government cultural spending.</w:t>
      </w:r>
    </w:p>
    <w:p w14:paraId="1338E638" w14:textId="77777777" w:rsidR="004263D0" w:rsidRPr="009D2D80" w:rsidRDefault="004263D0" w:rsidP="004263D0">
      <w:pPr>
        <w:pStyle w:val="bullet-arrow"/>
        <w:numPr>
          <w:ilvl w:val="0"/>
          <w:numId w:val="0"/>
        </w:numPr>
      </w:pPr>
      <w:r w:rsidRPr="009D2D80">
        <w:t xml:space="preserve">The largest capital expenditure was for </w:t>
      </w:r>
      <w:r w:rsidRPr="009D2D80">
        <w:rPr>
          <w:i/>
        </w:rPr>
        <w:t>Community arts and cultural development</w:t>
      </w:r>
      <w:r w:rsidRPr="009D2D80">
        <w:t xml:space="preserve"> ($63.9m), followed by </w:t>
      </w:r>
      <w:r w:rsidRPr="009D2D80">
        <w:rPr>
          <w:i/>
        </w:rPr>
        <w:t>Other museums and cultural heritage</w:t>
      </w:r>
      <w:r w:rsidRPr="009D2D80">
        <w:t xml:space="preserve"> ($61.9m) and </w:t>
      </w:r>
      <w:r w:rsidRPr="009D2D80">
        <w:rPr>
          <w:i/>
        </w:rPr>
        <w:t>Radio and television services</w:t>
      </w:r>
      <w:r w:rsidRPr="009D2D80">
        <w:t xml:space="preserve"> ($61.8m). </w:t>
      </w:r>
    </w:p>
    <w:p w14:paraId="08E4B632" w14:textId="77777777" w:rsidR="004263D0" w:rsidRPr="009D2D80" w:rsidRDefault="004263D0" w:rsidP="004263D0">
      <w:r w:rsidRPr="009D2D80">
        <w:t>Other main categories of capital expenditure were:</w:t>
      </w:r>
    </w:p>
    <w:p w14:paraId="492E4EB4" w14:textId="77777777" w:rsidR="004263D0" w:rsidRPr="009D2D80" w:rsidRDefault="00841C2E" w:rsidP="004263D0">
      <w:pPr>
        <w:pStyle w:val="Bulletlevel1"/>
        <w:numPr>
          <w:ilvl w:val="0"/>
          <w:numId w:val="10"/>
        </w:numPr>
        <w:spacing w:before="240"/>
        <w:ind w:left="567" w:hanging="567"/>
      </w:pPr>
      <w:r w:rsidRPr="009D2D80">
        <w:rPr>
          <w:i/>
        </w:rPr>
        <w:t>Theatre</w:t>
      </w:r>
      <w:r w:rsidR="004263D0" w:rsidRPr="009D2D80">
        <w:t>—$</w:t>
      </w:r>
      <w:r w:rsidR="006F0FF7" w:rsidRPr="009D2D80">
        <w:t>45.6</w:t>
      </w:r>
      <w:r w:rsidR="004263D0" w:rsidRPr="009D2D80">
        <w:t>m</w:t>
      </w:r>
    </w:p>
    <w:p w14:paraId="108E29DF" w14:textId="77777777" w:rsidR="004263D0" w:rsidRPr="009D2D80" w:rsidRDefault="00841C2E" w:rsidP="004263D0">
      <w:pPr>
        <w:pStyle w:val="Bulletlevel1"/>
        <w:numPr>
          <w:ilvl w:val="0"/>
          <w:numId w:val="10"/>
        </w:numPr>
        <w:spacing w:before="240"/>
        <w:ind w:left="567" w:hanging="567"/>
      </w:pPr>
      <w:r w:rsidRPr="009D2D80">
        <w:rPr>
          <w:i/>
        </w:rPr>
        <w:t>Libraries</w:t>
      </w:r>
      <w:r w:rsidR="004263D0" w:rsidRPr="009D2D80">
        <w:t>—$</w:t>
      </w:r>
      <w:r w:rsidR="006F0FF7" w:rsidRPr="009D2D80">
        <w:t>42.2</w:t>
      </w:r>
      <w:r w:rsidR="004263D0" w:rsidRPr="009D2D80">
        <w:t>m</w:t>
      </w:r>
    </w:p>
    <w:p w14:paraId="38E8FCF8" w14:textId="77777777" w:rsidR="009A2603" w:rsidRPr="009D2D80" w:rsidRDefault="00841C2E" w:rsidP="001D64AC">
      <w:pPr>
        <w:pStyle w:val="Bulletlevel1"/>
        <w:numPr>
          <w:ilvl w:val="0"/>
          <w:numId w:val="10"/>
        </w:numPr>
        <w:spacing w:before="240"/>
        <w:ind w:left="567" w:hanging="567"/>
      </w:pPr>
      <w:r w:rsidRPr="009D2D80">
        <w:rPr>
          <w:i/>
        </w:rPr>
        <w:t>Art museums</w:t>
      </w:r>
      <w:r w:rsidR="004263D0" w:rsidRPr="009D2D80">
        <w:t>—$</w:t>
      </w:r>
      <w:r w:rsidR="006F0FF7" w:rsidRPr="009D2D80">
        <w:t>37.2</w:t>
      </w:r>
      <w:r w:rsidR="004263D0" w:rsidRPr="009D2D80">
        <w:t>m.</w:t>
      </w:r>
    </w:p>
    <w:p w14:paraId="5D3D8F55" w14:textId="77777777" w:rsidR="004263D0" w:rsidRDefault="004263D0" w:rsidP="004263D0">
      <w:pPr>
        <w:pStyle w:val="Tablefigureheading"/>
      </w:pPr>
      <w:r>
        <w:t xml:space="preserve">Figure 4. Australian </w:t>
      </w:r>
      <w:r w:rsidR="00841C2E">
        <w:t>G</w:t>
      </w:r>
      <w:r>
        <w:t>overnment capital cultural expenditure, by selected categories</w:t>
      </w:r>
    </w:p>
    <w:p w14:paraId="1DB09688" w14:textId="77777777" w:rsidR="004263D0" w:rsidRDefault="00B15F8F" w:rsidP="001D64AC">
      <w:r>
        <w:rPr>
          <w:noProof/>
          <w:lang w:eastAsia="en-AU"/>
        </w:rPr>
        <w:drawing>
          <wp:inline distT="0" distB="0" distL="0" distR="0" wp14:anchorId="1075BCDC" wp14:editId="5D0184DB">
            <wp:extent cx="4602480" cy="2781300"/>
            <wp:effectExtent l="0" t="0" r="7620" b="0"/>
            <wp:docPr id="3" name="Picture 3" descr="Figure 4. Australian Government capital cultural expenditure, by selected categories.&#10;&#10;A bar chart compares capital expenditure across selected  categories of Art museums, Other museums and cultural heritage, Libraries, Archives, Theatre, Performing art venues, Visual arts and crafts, Radio and television services and Community arts and cultural development between the financial years of 2015-16, 2016-17 and 2017-18 for Australian Government." title="Figure 4. Australian Government capital cultural expenditure, by selected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02480" cy="2781300"/>
                    </a:xfrm>
                    <a:prstGeom prst="rect">
                      <a:avLst/>
                    </a:prstGeom>
                  </pic:spPr>
                </pic:pic>
              </a:graphicData>
            </a:graphic>
          </wp:inline>
        </w:drawing>
      </w:r>
    </w:p>
    <w:sectPr w:rsidR="004263D0" w:rsidSect="00AF03EA">
      <w:type w:val="continuous"/>
      <w:pgSz w:w="11906" w:h="16838"/>
      <w:pgMar w:top="1843" w:right="1133"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02539" w14:textId="77777777" w:rsidR="003D2296" w:rsidRDefault="003D2296" w:rsidP="002117E6">
      <w:pPr>
        <w:spacing w:after="0"/>
      </w:pPr>
      <w:r>
        <w:separator/>
      </w:r>
    </w:p>
  </w:endnote>
  <w:endnote w:type="continuationSeparator" w:id="0">
    <w:p w14:paraId="53B0BF84" w14:textId="77777777" w:rsidR="003D2296" w:rsidRDefault="003D2296" w:rsidP="00211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AF58E" w14:textId="5CE3A97B" w:rsidR="003D2296" w:rsidRPr="000D3D9D" w:rsidRDefault="003D2296" w:rsidP="00842CA0">
    <w:pPr>
      <w:pStyle w:val="Footer"/>
      <w:tabs>
        <w:tab w:val="clear" w:pos="9026"/>
        <w:tab w:val="right" w:pos="9333"/>
      </w:tabs>
      <w:rPr>
        <w:rStyle w:val="Hyperlink"/>
        <w:sz w:val="18"/>
        <w:szCs w:val="18"/>
      </w:rPr>
    </w:pPr>
    <w:r w:rsidRPr="0024033A">
      <w:rPr>
        <w:sz w:val="18"/>
        <w:szCs w:val="18"/>
      </w:rPr>
      <w:t>Cultural Funding by Government — 2017</w:t>
    </w:r>
    <w:r>
      <w:t>–</w:t>
    </w:r>
    <w:r w:rsidRPr="0024033A">
      <w:rPr>
        <w:sz w:val="18"/>
        <w:szCs w:val="18"/>
      </w:rPr>
      <w:t>18</w:t>
    </w:r>
    <w:r>
      <w:rPr>
        <w:sz w:val="18"/>
        <w:szCs w:val="18"/>
      </w:rPr>
      <w:t xml:space="preserve"> </w:t>
    </w:r>
    <w:r w:rsidRPr="0024033A">
      <w:rPr>
        <w:sz w:val="18"/>
        <w:szCs w:val="18"/>
      </w:rPr>
      <w:t>—</w:t>
    </w:r>
    <w:r>
      <w:rPr>
        <w:sz w:val="18"/>
        <w:szCs w:val="18"/>
      </w:rPr>
      <w:t xml:space="preserve"> Australian Government</w:t>
    </w:r>
    <w:r w:rsidRPr="0037566A">
      <w:rPr>
        <w:sz w:val="18"/>
        <w:szCs w:val="18"/>
      </w:rPr>
      <w:tab/>
    </w:r>
    <w:sdt>
      <w:sdtPr>
        <w:rPr>
          <w:sz w:val="18"/>
          <w:szCs w:val="18"/>
        </w:rPr>
        <w:id w:val="-924028759"/>
        <w:docPartObj>
          <w:docPartGallery w:val="Page Numbers (Top of Page)"/>
          <w:docPartUnique/>
        </w:docPartObj>
      </w:sdtPr>
      <w:sdtEndPr/>
      <w:sdtContent>
        <w:r w:rsidRPr="0037566A">
          <w:rPr>
            <w:sz w:val="18"/>
            <w:szCs w:val="18"/>
          </w:rPr>
          <w:t xml:space="preserve">Page </w:t>
        </w:r>
        <w:r w:rsidRPr="0037566A">
          <w:rPr>
            <w:bCs/>
            <w:sz w:val="18"/>
            <w:szCs w:val="18"/>
          </w:rPr>
          <w:fldChar w:fldCharType="begin"/>
        </w:r>
        <w:r w:rsidRPr="0037566A">
          <w:rPr>
            <w:bCs/>
            <w:sz w:val="18"/>
            <w:szCs w:val="18"/>
          </w:rPr>
          <w:instrText xml:space="preserve"> PAGE </w:instrText>
        </w:r>
        <w:r w:rsidRPr="0037566A">
          <w:rPr>
            <w:bCs/>
            <w:sz w:val="18"/>
            <w:szCs w:val="18"/>
          </w:rPr>
          <w:fldChar w:fldCharType="separate"/>
        </w:r>
        <w:r w:rsidR="00F54AB4">
          <w:rPr>
            <w:bCs/>
            <w:noProof/>
            <w:sz w:val="18"/>
            <w:szCs w:val="18"/>
          </w:rPr>
          <w:t>3</w:t>
        </w:r>
        <w:r w:rsidRPr="0037566A">
          <w:rPr>
            <w:bCs/>
            <w:sz w:val="18"/>
            <w:szCs w:val="18"/>
          </w:rPr>
          <w:fldChar w:fldCharType="end"/>
        </w:r>
        <w:r w:rsidRPr="0037566A">
          <w:rPr>
            <w:sz w:val="18"/>
            <w:szCs w:val="18"/>
          </w:rPr>
          <w:t xml:space="preserve"> of </w:t>
        </w:r>
        <w:r w:rsidRPr="0037566A">
          <w:rPr>
            <w:bCs/>
            <w:sz w:val="18"/>
            <w:szCs w:val="18"/>
          </w:rPr>
          <w:fldChar w:fldCharType="begin"/>
        </w:r>
        <w:r w:rsidRPr="0037566A">
          <w:rPr>
            <w:bCs/>
            <w:sz w:val="18"/>
            <w:szCs w:val="18"/>
          </w:rPr>
          <w:instrText xml:space="preserve"> NUMPAGES  </w:instrText>
        </w:r>
        <w:r w:rsidRPr="0037566A">
          <w:rPr>
            <w:bCs/>
            <w:sz w:val="18"/>
            <w:szCs w:val="18"/>
          </w:rPr>
          <w:fldChar w:fldCharType="separate"/>
        </w:r>
        <w:r w:rsidR="00F54AB4">
          <w:rPr>
            <w:bCs/>
            <w:noProof/>
            <w:sz w:val="18"/>
            <w:szCs w:val="18"/>
          </w:rPr>
          <w:t>3</w:t>
        </w:r>
        <w:r w:rsidRPr="0037566A">
          <w:rPr>
            <w:bCs/>
            <w:sz w:val="18"/>
            <w:szCs w:val="18"/>
          </w:rPr>
          <w:fldChar w:fldCharType="end"/>
        </w:r>
      </w:sdtContent>
    </w:sdt>
  </w:p>
  <w:p w14:paraId="1EAAF193" w14:textId="77777777" w:rsidR="003D2296" w:rsidRDefault="003D2296" w:rsidP="00842CA0">
    <w:pPr>
      <w:spacing w:after="0"/>
      <w:ind w:left="-1418"/>
    </w:pPr>
    <w:r>
      <w:rPr>
        <w:noProof/>
        <w:lang w:eastAsia="en-AU"/>
      </w:rPr>
      <w:drawing>
        <wp:inline distT="0" distB="0" distL="0" distR="0" wp14:anchorId="126BE6C2" wp14:editId="508048A3">
          <wp:extent cx="7560000" cy="358181"/>
          <wp:effectExtent l="0" t="0" r="3175" b="3810"/>
          <wp:docPr id="7" name="Picture 7" descr="Purple Border " title="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1935" t="-12324" r="1078" b="19102"/>
                  <a:stretch/>
                </pic:blipFill>
                <pic:spPr bwMode="auto">
                  <a:xfrm>
                    <a:off x="0" y="0"/>
                    <a:ext cx="7560000" cy="358181"/>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A5CBF" w14:textId="77777777" w:rsidR="003D2296" w:rsidRPr="00477982" w:rsidRDefault="003D2296" w:rsidP="00477982">
    <w:pPr>
      <w:pStyle w:val="Footer"/>
      <w:ind w:left="-1418"/>
      <w:rPr>
        <w:rStyle w:val="Hyperlink"/>
        <w:color w:val="auto"/>
        <w:u w:val="none"/>
      </w:rPr>
    </w:pPr>
    <w:r>
      <w:rPr>
        <w:noProof/>
        <w:lang w:eastAsia="en-AU"/>
      </w:rPr>
      <w:drawing>
        <wp:inline distT="0" distB="0" distL="0" distR="0" wp14:anchorId="2A2204C5" wp14:editId="761DCADC">
          <wp:extent cx="7560000" cy="358181"/>
          <wp:effectExtent l="0" t="0" r="3175" b="3810"/>
          <wp:docPr id="8" name="Picture 8" descr="Purple Border " title="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1935" t="-12324" r="1078" b="19102"/>
                  <a:stretch/>
                </pic:blipFill>
                <pic:spPr bwMode="auto">
                  <a:xfrm>
                    <a:off x="0" y="0"/>
                    <a:ext cx="7560000" cy="358181"/>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93EDE" w14:textId="77777777" w:rsidR="003D2296" w:rsidRDefault="003D2296" w:rsidP="002117E6">
      <w:pPr>
        <w:spacing w:after="0"/>
      </w:pPr>
      <w:r>
        <w:separator/>
      </w:r>
    </w:p>
  </w:footnote>
  <w:footnote w:type="continuationSeparator" w:id="0">
    <w:p w14:paraId="254DA217" w14:textId="77777777" w:rsidR="003D2296" w:rsidRDefault="003D2296" w:rsidP="002117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51E0A" w14:textId="77777777" w:rsidR="003D2296" w:rsidRDefault="003D2296" w:rsidP="00477982">
    <w:pPr>
      <w:pStyle w:val="Header"/>
      <w:ind w:left="-1418"/>
    </w:pPr>
    <w:r>
      <w:rPr>
        <w:noProof/>
        <w:lang w:eastAsia="en-AU"/>
      </w:rPr>
      <w:drawing>
        <wp:inline distT="0" distB="0" distL="0" distR="0" wp14:anchorId="6936738D" wp14:editId="68FBE86C">
          <wp:extent cx="7560000" cy="544479"/>
          <wp:effectExtent l="0" t="0" r="3175" b="8255"/>
          <wp:docPr id="6" name="Picture 6" descr="Purple Border" title="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654" t="19214" r="1857"/>
                  <a:stretch/>
                </pic:blipFill>
                <pic:spPr bwMode="auto">
                  <a:xfrm>
                    <a:off x="0" y="0"/>
                    <a:ext cx="7560000" cy="544479"/>
                  </a:xfrm>
                  <a:prstGeom prst="rect">
                    <a:avLst/>
                  </a:prstGeom>
                  <a:noFill/>
                  <a:ln>
                    <a:noFill/>
                  </a:ln>
                  <a:extLst>
                    <a:ext uri="{53640926-AAD7-44D8-BBD7-CCE9431645EC}">
                      <a14:shadowObscured xmlns:a14="http://schemas.microsoft.com/office/drawing/2010/main"/>
                    </a:ext>
                  </a:extLst>
                </pic:spPr>
              </pic:pic>
            </a:graphicData>
          </a:graphic>
        </wp:inline>
      </w:drawing>
    </w:r>
  </w:p>
  <w:p w14:paraId="200E3FB3" w14:textId="77777777" w:rsidR="003D2296" w:rsidRDefault="003D2296" w:rsidP="00477982">
    <w:pPr>
      <w:pStyle w:val="Header"/>
      <w:tabs>
        <w:tab w:val="clear" w:pos="9026"/>
        <w:tab w:val="right" w:pos="9333"/>
      </w:tabs>
    </w:pPr>
    <w:r>
      <w:t>MCM Statistics Working Group</w:t>
    </w:r>
    <w:r w:rsidRPr="00A96536">
      <w:tab/>
    </w:r>
    <w:r w:rsidRPr="00A96536">
      <w:tab/>
    </w:r>
    <w:r>
      <w:t>June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2D9E"/>
    <w:multiLevelType w:val="hybridMultilevel"/>
    <w:tmpl w:val="7900756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937613"/>
    <w:multiLevelType w:val="hybridMultilevel"/>
    <w:tmpl w:val="2B48B512"/>
    <w:lvl w:ilvl="0" w:tplc="69AC725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17C6A73"/>
    <w:multiLevelType w:val="hybridMultilevel"/>
    <w:tmpl w:val="528A0CE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B508A"/>
    <w:multiLevelType w:val="hybridMultilevel"/>
    <w:tmpl w:val="F3CA4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241D7F"/>
    <w:multiLevelType w:val="hybridMultilevel"/>
    <w:tmpl w:val="A3A6C6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F7139D"/>
    <w:multiLevelType w:val="hybridMultilevel"/>
    <w:tmpl w:val="92622A6A"/>
    <w:lvl w:ilvl="0" w:tplc="80B65482">
      <w:start w:val="1"/>
      <w:numFmt w:val="bullet"/>
      <w:pStyle w:val="bullet-arrow"/>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54B3F70"/>
    <w:multiLevelType w:val="hybridMultilevel"/>
    <w:tmpl w:val="2EB41F5A"/>
    <w:lvl w:ilvl="0" w:tplc="43C08D6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93E1F26"/>
    <w:multiLevelType w:val="hybridMultilevel"/>
    <w:tmpl w:val="1A685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9"/>
  </w:num>
  <w:num w:numId="5">
    <w:abstractNumId w:val="2"/>
  </w:num>
  <w:num w:numId="6">
    <w:abstractNumId w:val="6"/>
  </w:num>
  <w:num w:numId="7">
    <w:abstractNumId w:val="0"/>
  </w:num>
  <w:num w:numId="8">
    <w:abstractNumId w:val="3"/>
  </w:num>
  <w:num w:numId="9">
    <w:abstractNumId w:val="4"/>
  </w:num>
  <w:num w:numId="10">
    <w:abstractNumId w:val="7"/>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3E"/>
    <w:rsid w:val="000056F7"/>
    <w:rsid w:val="00024E6D"/>
    <w:rsid w:val="00025017"/>
    <w:rsid w:val="000302BC"/>
    <w:rsid w:val="00035573"/>
    <w:rsid w:val="0007783D"/>
    <w:rsid w:val="0009659E"/>
    <w:rsid w:val="000B17F3"/>
    <w:rsid w:val="000C66BA"/>
    <w:rsid w:val="000D421A"/>
    <w:rsid w:val="000E398B"/>
    <w:rsid w:val="001031A7"/>
    <w:rsid w:val="00111A64"/>
    <w:rsid w:val="00142132"/>
    <w:rsid w:val="001471EA"/>
    <w:rsid w:val="001472FC"/>
    <w:rsid w:val="001736CC"/>
    <w:rsid w:val="00185BD8"/>
    <w:rsid w:val="00185E9F"/>
    <w:rsid w:val="0019701B"/>
    <w:rsid w:val="001A350B"/>
    <w:rsid w:val="001D64AC"/>
    <w:rsid w:val="001D7905"/>
    <w:rsid w:val="001E56B2"/>
    <w:rsid w:val="002117E6"/>
    <w:rsid w:val="00221CCC"/>
    <w:rsid w:val="00233671"/>
    <w:rsid w:val="00236A01"/>
    <w:rsid w:val="0024033A"/>
    <w:rsid w:val="00241E1C"/>
    <w:rsid w:val="00242B78"/>
    <w:rsid w:val="00290FEC"/>
    <w:rsid w:val="00293DD6"/>
    <w:rsid w:val="00294F14"/>
    <w:rsid w:val="002A4338"/>
    <w:rsid w:val="002C5369"/>
    <w:rsid w:val="002C6B93"/>
    <w:rsid w:val="002E2477"/>
    <w:rsid w:val="002E449F"/>
    <w:rsid w:val="002E5E65"/>
    <w:rsid w:val="002F3895"/>
    <w:rsid w:val="00302513"/>
    <w:rsid w:val="00327F06"/>
    <w:rsid w:val="00335334"/>
    <w:rsid w:val="00336DDD"/>
    <w:rsid w:val="0034396E"/>
    <w:rsid w:val="00361E74"/>
    <w:rsid w:val="00381364"/>
    <w:rsid w:val="00390E77"/>
    <w:rsid w:val="003B5B1D"/>
    <w:rsid w:val="003D2296"/>
    <w:rsid w:val="003F495D"/>
    <w:rsid w:val="00400E77"/>
    <w:rsid w:val="0041185C"/>
    <w:rsid w:val="0042447B"/>
    <w:rsid w:val="004263D0"/>
    <w:rsid w:val="00426BF7"/>
    <w:rsid w:val="00426F0B"/>
    <w:rsid w:val="00435054"/>
    <w:rsid w:val="00436F4C"/>
    <w:rsid w:val="00441A51"/>
    <w:rsid w:val="00450D6E"/>
    <w:rsid w:val="00456F44"/>
    <w:rsid w:val="00467552"/>
    <w:rsid w:val="004753FE"/>
    <w:rsid w:val="004755A2"/>
    <w:rsid w:val="00477982"/>
    <w:rsid w:val="00491C47"/>
    <w:rsid w:val="004F0AC6"/>
    <w:rsid w:val="005262D2"/>
    <w:rsid w:val="00526687"/>
    <w:rsid w:val="00530E99"/>
    <w:rsid w:val="005377F7"/>
    <w:rsid w:val="00542695"/>
    <w:rsid w:val="00544465"/>
    <w:rsid w:val="0055499C"/>
    <w:rsid w:val="005607E8"/>
    <w:rsid w:val="00561190"/>
    <w:rsid w:val="005658F1"/>
    <w:rsid w:val="00565B47"/>
    <w:rsid w:val="00575A5A"/>
    <w:rsid w:val="005932D0"/>
    <w:rsid w:val="00597F9B"/>
    <w:rsid w:val="005C7EE7"/>
    <w:rsid w:val="005D197F"/>
    <w:rsid w:val="005D4115"/>
    <w:rsid w:val="005F23E0"/>
    <w:rsid w:val="00606D51"/>
    <w:rsid w:val="0061446D"/>
    <w:rsid w:val="00625397"/>
    <w:rsid w:val="00640A4C"/>
    <w:rsid w:val="0064138E"/>
    <w:rsid w:val="00655DF4"/>
    <w:rsid w:val="00661DF5"/>
    <w:rsid w:val="006A2F0E"/>
    <w:rsid w:val="006C18BE"/>
    <w:rsid w:val="006D096B"/>
    <w:rsid w:val="006D4BB3"/>
    <w:rsid w:val="006F06FD"/>
    <w:rsid w:val="006F0FF7"/>
    <w:rsid w:val="00705B86"/>
    <w:rsid w:val="007312EE"/>
    <w:rsid w:val="00734581"/>
    <w:rsid w:val="00753BB6"/>
    <w:rsid w:val="007603FD"/>
    <w:rsid w:val="007665C2"/>
    <w:rsid w:val="007A4B0F"/>
    <w:rsid w:val="008169A6"/>
    <w:rsid w:val="0082186E"/>
    <w:rsid w:val="00834A94"/>
    <w:rsid w:val="00834DE8"/>
    <w:rsid w:val="00841C2E"/>
    <w:rsid w:val="00842CA0"/>
    <w:rsid w:val="008646E6"/>
    <w:rsid w:val="00866475"/>
    <w:rsid w:val="00877172"/>
    <w:rsid w:val="00880D08"/>
    <w:rsid w:val="008A4B1F"/>
    <w:rsid w:val="008B2203"/>
    <w:rsid w:val="008B767F"/>
    <w:rsid w:val="008C6858"/>
    <w:rsid w:val="008D4E53"/>
    <w:rsid w:val="008F5F11"/>
    <w:rsid w:val="008F7FA4"/>
    <w:rsid w:val="00903111"/>
    <w:rsid w:val="009313D2"/>
    <w:rsid w:val="0093312F"/>
    <w:rsid w:val="0094124E"/>
    <w:rsid w:val="00955A9C"/>
    <w:rsid w:val="009654E0"/>
    <w:rsid w:val="00972787"/>
    <w:rsid w:val="009A124D"/>
    <w:rsid w:val="009A2603"/>
    <w:rsid w:val="009B7EF0"/>
    <w:rsid w:val="009D2D80"/>
    <w:rsid w:val="009E12E4"/>
    <w:rsid w:val="009F4363"/>
    <w:rsid w:val="00A22246"/>
    <w:rsid w:val="00A241FE"/>
    <w:rsid w:val="00A245C6"/>
    <w:rsid w:val="00A35CD0"/>
    <w:rsid w:val="00A4434A"/>
    <w:rsid w:val="00A52A3C"/>
    <w:rsid w:val="00A57CD7"/>
    <w:rsid w:val="00A606B1"/>
    <w:rsid w:val="00A61E9B"/>
    <w:rsid w:val="00AA38E6"/>
    <w:rsid w:val="00AC0B64"/>
    <w:rsid w:val="00AE0BE1"/>
    <w:rsid w:val="00AE4F02"/>
    <w:rsid w:val="00AF03EA"/>
    <w:rsid w:val="00AF5FC0"/>
    <w:rsid w:val="00B049A4"/>
    <w:rsid w:val="00B04E5C"/>
    <w:rsid w:val="00B1045C"/>
    <w:rsid w:val="00B15F8F"/>
    <w:rsid w:val="00B40560"/>
    <w:rsid w:val="00B43C56"/>
    <w:rsid w:val="00B55747"/>
    <w:rsid w:val="00B704AE"/>
    <w:rsid w:val="00B964C1"/>
    <w:rsid w:val="00B96893"/>
    <w:rsid w:val="00BA0A5A"/>
    <w:rsid w:val="00BA1263"/>
    <w:rsid w:val="00BA7F94"/>
    <w:rsid w:val="00BC0D30"/>
    <w:rsid w:val="00BC19F0"/>
    <w:rsid w:val="00BC329E"/>
    <w:rsid w:val="00BC7D72"/>
    <w:rsid w:val="00BD24DC"/>
    <w:rsid w:val="00BD597E"/>
    <w:rsid w:val="00BE1F34"/>
    <w:rsid w:val="00BE7E66"/>
    <w:rsid w:val="00C16794"/>
    <w:rsid w:val="00C240E2"/>
    <w:rsid w:val="00C27A57"/>
    <w:rsid w:val="00C451EE"/>
    <w:rsid w:val="00C45DF2"/>
    <w:rsid w:val="00C55F55"/>
    <w:rsid w:val="00CB00B4"/>
    <w:rsid w:val="00CC6EEC"/>
    <w:rsid w:val="00CC75CC"/>
    <w:rsid w:val="00CE2959"/>
    <w:rsid w:val="00CF5E24"/>
    <w:rsid w:val="00D03AE2"/>
    <w:rsid w:val="00D47936"/>
    <w:rsid w:val="00D626E0"/>
    <w:rsid w:val="00D76B2F"/>
    <w:rsid w:val="00D82A33"/>
    <w:rsid w:val="00D92957"/>
    <w:rsid w:val="00DB4FA3"/>
    <w:rsid w:val="00DC2DFA"/>
    <w:rsid w:val="00DC6A98"/>
    <w:rsid w:val="00DD5D52"/>
    <w:rsid w:val="00DF155B"/>
    <w:rsid w:val="00DF3729"/>
    <w:rsid w:val="00E27F65"/>
    <w:rsid w:val="00E34E34"/>
    <w:rsid w:val="00E54D63"/>
    <w:rsid w:val="00E57BCF"/>
    <w:rsid w:val="00E92EB5"/>
    <w:rsid w:val="00E97404"/>
    <w:rsid w:val="00E978C6"/>
    <w:rsid w:val="00EA2F26"/>
    <w:rsid w:val="00EA5BA4"/>
    <w:rsid w:val="00EA6D34"/>
    <w:rsid w:val="00EB40A5"/>
    <w:rsid w:val="00EC2D82"/>
    <w:rsid w:val="00EC3FE3"/>
    <w:rsid w:val="00ED7D65"/>
    <w:rsid w:val="00EE4583"/>
    <w:rsid w:val="00EF213E"/>
    <w:rsid w:val="00EF61B4"/>
    <w:rsid w:val="00F14A16"/>
    <w:rsid w:val="00F31503"/>
    <w:rsid w:val="00F3567E"/>
    <w:rsid w:val="00F408EE"/>
    <w:rsid w:val="00F45E7E"/>
    <w:rsid w:val="00F54AB4"/>
    <w:rsid w:val="00F56262"/>
    <w:rsid w:val="00F630CE"/>
    <w:rsid w:val="00F7051B"/>
    <w:rsid w:val="00F73B65"/>
    <w:rsid w:val="00FA2DCD"/>
    <w:rsid w:val="00FB5717"/>
    <w:rsid w:val="00FC16F3"/>
    <w:rsid w:val="00FC2425"/>
    <w:rsid w:val="00FE6CBA"/>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3BDF178"/>
  <w15:docId w15:val="{6F1CA4D6-F57A-4F55-A2CD-6398F869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52"/>
    <w:pPr>
      <w:spacing w:after="200" w:line="240" w:lineRule="auto"/>
    </w:pPr>
  </w:style>
  <w:style w:type="paragraph" w:styleId="Heading1">
    <w:name w:val="heading 1"/>
    <w:basedOn w:val="Normal"/>
    <w:next w:val="Normal"/>
    <w:link w:val="Heading1Char"/>
    <w:uiPriority w:val="9"/>
    <w:qFormat/>
    <w:rsid w:val="00DC6A98"/>
    <w:pPr>
      <w:keepNext/>
      <w:spacing w:before="360" w:after="240"/>
      <w:outlineLvl w:val="0"/>
    </w:pPr>
    <w:rPr>
      <w:rFonts w:asciiTheme="majorHAnsi" w:eastAsiaTheme="majorEastAsia" w:hAnsiTheme="majorHAnsi" w:cstheme="majorBidi"/>
      <w:b/>
      <w:sz w:val="48"/>
      <w:szCs w:val="32"/>
      <w:lang w:eastAsia="en-US"/>
    </w:rPr>
  </w:style>
  <w:style w:type="paragraph" w:styleId="Heading2">
    <w:name w:val="heading 2"/>
    <w:basedOn w:val="Normal"/>
    <w:next w:val="Normal"/>
    <w:link w:val="Heading2Char"/>
    <w:uiPriority w:val="9"/>
    <w:unhideWhenUsed/>
    <w:qFormat/>
    <w:rsid w:val="00242B78"/>
    <w:pPr>
      <w:keepNext/>
      <w:outlineLvl w:val="1"/>
    </w:pPr>
    <w:rPr>
      <w:rFonts w:asciiTheme="majorHAnsi" w:eastAsiaTheme="majorEastAsia" w:hAnsiTheme="majorHAnsi" w:cstheme="majorBidi"/>
      <w:b/>
      <w:color w:val="554B87"/>
      <w:sz w:val="36"/>
      <w:szCs w:val="26"/>
      <w:lang w:eastAsia="en-US"/>
    </w:rPr>
  </w:style>
  <w:style w:type="paragraph" w:styleId="Heading3">
    <w:name w:val="heading 3"/>
    <w:basedOn w:val="Normal"/>
    <w:next w:val="Normal"/>
    <w:link w:val="Heading3Char"/>
    <w:uiPriority w:val="9"/>
    <w:unhideWhenUsed/>
    <w:qFormat/>
    <w:rsid w:val="00242B78"/>
    <w:pPr>
      <w:keepNext/>
      <w:spacing w:after="120"/>
      <w:outlineLvl w:val="2"/>
    </w:pPr>
    <w:rPr>
      <w:rFonts w:asciiTheme="majorHAnsi" w:eastAsiaTheme="majorEastAsia" w:hAnsiTheme="majorHAnsi" w:cstheme="majorBidi"/>
      <w:b/>
      <w:color w:val="554B87"/>
      <w:sz w:val="30"/>
      <w:szCs w:val="24"/>
      <w:lang w:eastAsia="en-US"/>
    </w:rPr>
  </w:style>
  <w:style w:type="paragraph" w:styleId="Heading4">
    <w:name w:val="heading 4"/>
    <w:basedOn w:val="Normal"/>
    <w:next w:val="Normal"/>
    <w:link w:val="Heading4Char"/>
    <w:uiPriority w:val="9"/>
    <w:unhideWhenUsed/>
    <w:qFormat/>
    <w:rsid w:val="00242B78"/>
    <w:pPr>
      <w:keepNext/>
      <w:keepLines/>
      <w:spacing w:after="120"/>
      <w:outlineLvl w:val="3"/>
    </w:pPr>
    <w:rPr>
      <w:rFonts w:asciiTheme="majorHAnsi" w:eastAsiaTheme="majorEastAsia" w:hAnsiTheme="majorHAnsi" w:cstheme="majorBidi"/>
      <w:b/>
      <w:bCs/>
      <w:color w:val="554B87"/>
      <w:sz w:val="24"/>
      <w:szCs w:val="24"/>
    </w:rPr>
  </w:style>
  <w:style w:type="paragraph" w:styleId="Heading5">
    <w:name w:val="heading 5"/>
    <w:basedOn w:val="Normal"/>
    <w:next w:val="Normal"/>
    <w:link w:val="Heading5Char"/>
    <w:uiPriority w:val="9"/>
    <w:unhideWhenUsed/>
    <w:qFormat/>
    <w:rsid w:val="00242B78"/>
    <w:pPr>
      <w:keepNext/>
      <w:keepLines/>
      <w:spacing w:after="60"/>
      <w:outlineLvl w:val="4"/>
    </w:pPr>
    <w:rPr>
      <w:rFonts w:asciiTheme="majorHAnsi" w:eastAsiaTheme="majorEastAsia" w:hAnsiTheme="majorHAnsi" w:cstheme="majorBidi"/>
      <w:b/>
      <w:color w:val="554B87"/>
    </w:rPr>
  </w:style>
  <w:style w:type="paragraph" w:styleId="Heading6">
    <w:name w:val="heading 6"/>
    <w:basedOn w:val="Normal"/>
    <w:next w:val="Normal"/>
    <w:link w:val="Heading6Char"/>
    <w:uiPriority w:val="9"/>
    <w:unhideWhenUsed/>
    <w:qFormat/>
    <w:rsid w:val="00242B78"/>
    <w:pPr>
      <w:keepNext/>
      <w:keepLines/>
      <w:spacing w:after="60"/>
      <w:outlineLvl w:val="5"/>
    </w:pPr>
    <w:rPr>
      <w:rFonts w:asciiTheme="majorHAnsi" w:eastAsiaTheme="majorEastAsia" w:hAnsiTheme="majorHAnsi" w:cstheme="majorBidi"/>
      <w:b/>
      <w:i/>
      <w:iCs/>
      <w:color w:val="554B87"/>
    </w:rPr>
  </w:style>
  <w:style w:type="paragraph" w:styleId="Heading7">
    <w:name w:val="heading 7"/>
    <w:basedOn w:val="Normal"/>
    <w:next w:val="Normal"/>
    <w:link w:val="Heading7Char"/>
    <w:uiPriority w:val="9"/>
    <w:unhideWhenUsed/>
    <w:qFormat/>
    <w:rsid w:val="00242B78"/>
    <w:pPr>
      <w:keepNext/>
      <w:keepLines/>
      <w:spacing w:before="40" w:after="0"/>
      <w:outlineLvl w:val="6"/>
    </w:pPr>
    <w:rPr>
      <w:rFonts w:asciiTheme="majorHAnsi" w:eastAsiaTheme="majorEastAsia" w:hAnsiTheme="majorHAnsi" w:cstheme="majorBidi"/>
      <w:b/>
      <w:i/>
      <w:iCs/>
      <w:color w:val="554B87"/>
    </w:rPr>
  </w:style>
  <w:style w:type="paragraph" w:styleId="Heading8">
    <w:name w:val="heading 8"/>
    <w:basedOn w:val="Normal"/>
    <w:next w:val="Normal"/>
    <w:link w:val="Heading8Char"/>
    <w:uiPriority w:val="9"/>
    <w:unhideWhenUsed/>
    <w:qFormat/>
    <w:rsid w:val="00242B78"/>
    <w:pPr>
      <w:keepNext/>
      <w:keepLines/>
      <w:spacing w:before="40" w:after="0"/>
      <w:outlineLvl w:val="7"/>
    </w:pPr>
    <w:rPr>
      <w:rFonts w:asciiTheme="majorHAnsi" w:eastAsiaTheme="majorEastAsia" w:hAnsiTheme="majorHAnsi" w:cstheme="majorBidi"/>
      <w:b/>
      <w:color w:val="554B87"/>
      <w:sz w:val="21"/>
      <w:szCs w:val="21"/>
    </w:rPr>
  </w:style>
  <w:style w:type="paragraph" w:styleId="Heading9">
    <w:name w:val="heading 9"/>
    <w:basedOn w:val="Normal"/>
    <w:next w:val="Normal"/>
    <w:link w:val="Heading9Char"/>
    <w:uiPriority w:val="9"/>
    <w:unhideWhenUsed/>
    <w:qFormat/>
    <w:rsid w:val="00242B78"/>
    <w:pPr>
      <w:keepNext/>
      <w:keepLines/>
      <w:spacing w:before="40" w:after="0"/>
      <w:outlineLvl w:val="8"/>
    </w:pPr>
    <w:rPr>
      <w:rFonts w:asciiTheme="majorHAnsi" w:eastAsiaTheme="majorEastAsia" w:hAnsiTheme="majorHAnsi" w:cstheme="majorBidi"/>
      <w:b/>
      <w:i/>
      <w:iCs/>
      <w:color w:val="554B8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A98"/>
    <w:rPr>
      <w:rFonts w:asciiTheme="majorHAnsi" w:eastAsiaTheme="majorEastAsia" w:hAnsiTheme="majorHAnsi" w:cstheme="majorBidi"/>
      <w:b/>
      <w:sz w:val="48"/>
      <w:szCs w:val="32"/>
      <w:lang w:eastAsia="en-US"/>
    </w:rPr>
  </w:style>
  <w:style w:type="character" w:customStyle="1" w:styleId="Heading2Char">
    <w:name w:val="Heading 2 Char"/>
    <w:basedOn w:val="DefaultParagraphFont"/>
    <w:link w:val="Heading2"/>
    <w:uiPriority w:val="9"/>
    <w:rsid w:val="00242B78"/>
    <w:rPr>
      <w:rFonts w:asciiTheme="majorHAnsi" w:eastAsiaTheme="majorEastAsia" w:hAnsiTheme="majorHAnsi" w:cstheme="majorBidi"/>
      <w:b/>
      <w:color w:val="554B87"/>
      <w:sz w:val="36"/>
      <w:szCs w:val="26"/>
      <w:lang w:eastAsia="en-US"/>
    </w:rPr>
  </w:style>
  <w:style w:type="character" w:customStyle="1" w:styleId="Heading3Char">
    <w:name w:val="Heading 3 Char"/>
    <w:basedOn w:val="DefaultParagraphFont"/>
    <w:link w:val="Heading3"/>
    <w:uiPriority w:val="9"/>
    <w:rsid w:val="00242B78"/>
    <w:rPr>
      <w:rFonts w:asciiTheme="majorHAnsi" w:eastAsiaTheme="majorEastAsia" w:hAnsiTheme="majorHAnsi" w:cstheme="majorBidi"/>
      <w:b/>
      <w:color w:val="554B87"/>
      <w:sz w:val="30"/>
      <w:szCs w:val="24"/>
      <w:lang w:eastAsia="en-US"/>
    </w:rPr>
  </w:style>
  <w:style w:type="character" w:styleId="Hyperlink">
    <w:name w:val="Hyperlink"/>
    <w:basedOn w:val="DefaultParagraphFont"/>
    <w:uiPriority w:val="99"/>
    <w:unhideWhenUsed/>
    <w:rsid w:val="00F56262"/>
    <w:rPr>
      <w:b/>
      <w:color w:val="554B87"/>
      <w:u w:val="single"/>
    </w:rPr>
  </w:style>
  <w:style w:type="paragraph" w:customStyle="1" w:styleId="Bulletlevel1">
    <w:name w:val="Bullet level 1"/>
    <w:basedOn w:val="Normal"/>
    <w:qFormat/>
    <w:rsid w:val="002117E6"/>
    <w:pPr>
      <w:numPr>
        <w:numId w:val="1"/>
      </w:numPr>
      <w:ind w:left="567" w:hanging="567"/>
      <w:contextualSpacing/>
    </w:pPr>
    <w:rPr>
      <w:rFonts w:eastAsiaTheme="minorHAnsi"/>
      <w:lang w:eastAsia="en-US"/>
    </w:rPr>
  </w:style>
  <w:style w:type="paragraph" w:styleId="Quote">
    <w:name w:val="Quote"/>
    <w:basedOn w:val="Normal"/>
    <w:next w:val="Normal"/>
    <w:link w:val="QuoteChar"/>
    <w:uiPriority w:val="29"/>
    <w:qFormat/>
    <w:rsid w:val="00467552"/>
    <w:pPr>
      <w:ind w:left="567"/>
    </w:pPr>
    <w:rPr>
      <w:rFonts w:eastAsiaTheme="minorHAnsi"/>
      <w:b/>
      <w:i/>
      <w:iCs/>
      <w:color w:val="554B87"/>
      <w:lang w:eastAsia="en-US"/>
    </w:rPr>
  </w:style>
  <w:style w:type="character" w:customStyle="1" w:styleId="QuoteChar">
    <w:name w:val="Quote Char"/>
    <w:basedOn w:val="DefaultParagraphFont"/>
    <w:link w:val="Quote"/>
    <w:uiPriority w:val="29"/>
    <w:rsid w:val="00467552"/>
    <w:rPr>
      <w:rFonts w:eastAsiaTheme="minorHAnsi"/>
      <w:b/>
      <w:i/>
      <w:iCs/>
      <w:color w:val="554B87"/>
      <w:lang w:eastAsia="en-US"/>
    </w:rPr>
  </w:style>
  <w:style w:type="paragraph" w:styleId="Header">
    <w:name w:val="header"/>
    <w:basedOn w:val="Normal"/>
    <w:link w:val="HeaderChar"/>
    <w:uiPriority w:val="99"/>
    <w:unhideWhenUsed/>
    <w:rsid w:val="002117E6"/>
    <w:pPr>
      <w:tabs>
        <w:tab w:val="center" w:pos="4513"/>
        <w:tab w:val="right" w:pos="9026"/>
      </w:tabs>
      <w:spacing w:after="0"/>
    </w:pPr>
  </w:style>
  <w:style w:type="character" w:customStyle="1" w:styleId="HeaderChar">
    <w:name w:val="Header Char"/>
    <w:basedOn w:val="DefaultParagraphFont"/>
    <w:link w:val="Header"/>
    <w:uiPriority w:val="99"/>
    <w:rsid w:val="002117E6"/>
  </w:style>
  <w:style w:type="paragraph" w:styleId="Footer">
    <w:name w:val="footer"/>
    <w:basedOn w:val="Normal"/>
    <w:link w:val="FooterChar"/>
    <w:uiPriority w:val="99"/>
    <w:unhideWhenUsed/>
    <w:rsid w:val="002117E6"/>
    <w:pPr>
      <w:tabs>
        <w:tab w:val="center" w:pos="4513"/>
        <w:tab w:val="right" w:pos="9026"/>
      </w:tabs>
      <w:spacing w:after="0"/>
    </w:pPr>
  </w:style>
  <w:style w:type="character" w:customStyle="1" w:styleId="FooterChar">
    <w:name w:val="Footer Char"/>
    <w:basedOn w:val="DefaultParagraphFont"/>
    <w:link w:val="Footer"/>
    <w:uiPriority w:val="99"/>
    <w:rsid w:val="002117E6"/>
  </w:style>
  <w:style w:type="character" w:customStyle="1" w:styleId="Heading4Char">
    <w:name w:val="Heading 4 Char"/>
    <w:basedOn w:val="DefaultParagraphFont"/>
    <w:link w:val="Heading4"/>
    <w:uiPriority w:val="9"/>
    <w:rsid w:val="00242B78"/>
    <w:rPr>
      <w:rFonts w:asciiTheme="majorHAnsi" w:eastAsiaTheme="majorEastAsia" w:hAnsiTheme="majorHAnsi" w:cstheme="majorBidi"/>
      <w:b/>
      <w:bCs/>
      <w:color w:val="554B87"/>
      <w:sz w:val="24"/>
      <w:szCs w:val="24"/>
    </w:rPr>
  </w:style>
  <w:style w:type="character" w:customStyle="1" w:styleId="Heading5Char">
    <w:name w:val="Heading 5 Char"/>
    <w:basedOn w:val="DefaultParagraphFont"/>
    <w:link w:val="Heading5"/>
    <w:uiPriority w:val="9"/>
    <w:rsid w:val="00242B78"/>
    <w:rPr>
      <w:rFonts w:asciiTheme="majorHAnsi" w:eastAsiaTheme="majorEastAsia" w:hAnsiTheme="majorHAnsi" w:cstheme="majorBidi"/>
      <w:b/>
      <w:color w:val="554B87"/>
    </w:rPr>
  </w:style>
  <w:style w:type="table" w:styleId="TableGrid">
    <w:name w:val="Table Grid"/>
    <w:basedOn w:val="TableNormal"/>
    <w:uiPriority w:val="39"/>
    <w:rsid w:val="002117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8B767F"/>
    <w:pPr>
      <w:keepNext/>
      <w:spacing w:after="0"/>
    </w:pPr>
    <w:rPr>
      <w:rFonts w:asciiTheme="majorHAnsi" w:eastAsiaTheme="minorHAnsi" w:hAnsiTheme="majorHAnsi"/>
      <w:b/>
      <w:color w:val="554B87"/>
      <w:lang w:eastAsia="en-US"/>
    </w:rPr>
  </w:style>
  <w:style w:type="paragraph" w:customStyle="1" w:styleId="Tabletextcentred">
    <w:name w:val="Table text centred"/>
    <w:basedOn w:val="Normal"/>
    <w:next w:val="NoSpacing"/>
    <w:rsid w:val="002117E6"/>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2117E6"/>
    <w:pPr>
      <w:spacing w:after="0"/>
      <w:jc w:val="center"/>
    </w:pPr>
    <w:rPr>
      <w:rFonts w:eastAsia="Times New Roman" w:cs="Times New Roman"/>
      <w:b/>
      <w:bCs/>
      <w:szCs w:val="20"/>
      <w:lang w:eastAsia="en-US"/>
    </w:rPr>
  </w:style>
  <w:style w:type="paragraph" w:customStyle="1" w:styleId="Tabletext">
    <w:name w:val="Table text"/>
    <w:basedOn w:val="Tabletextcentred"/>
    <w:qFormat/>
    <w:rsid w:val="002117E6"/>
    <w:pPr>
      <w:jc w:val="left"/>
    </w:pPr>
  </w:style>
  <w:style w:type="paragraph" w:styleId="NoSpacing">
    <w:name w:val="No Spacing"/>
    <w:uiPriority w:val="1"/>
    <w:qFormat/>
    <w:rsid w:val="002117E6"/>
    <w:pPr>
      <w:spacing w:after="0" w:line="240" w:lineRule="auto"/>
    </w:pPr>
  </w:style>
  <w:style w:type="paragraph" w:customStyle="1" w:styleId="Tablerowcolumnheading">
    <w:name w:val="Table row/column heading"/>
    <w:basedOn w:val="Normal"/>
    <w:next w:val="Normal"/>
    <w:rsid w:val="002117E6"/>
    <w:pPr>
      <w:spacing w:after="0"/>
    </w:pPr>
    <w:rPr>
      <w:rFonts w:eastAsia="Times New Roman" w:cs="Times New Roman"/>
      <w:b/>
      <w:bCs/>
      <w:szCs w:val="20"/>
      <w:lang w:eastAsia="en-US"/>
    </w:rPr>
  </w:style>
  <w:style w:type="paragraph" w:customStyle="1" w:styleId="Checkboxemptybulletpoint">
    <w:name w:val="Check box empty bullet point"/>
    <w:basedOn w:val="Bulletlevel1"/>
    <w:qFormat/>
    <w:rsid w:val="002117E6"/>
    <w:pPr>
      <w:numPr>
        <w:numId w:val="2"/>
      </w:numPr>
      <w:spacing w:after="0"/>
      <w:ind w:left="567" w:hanging="567"/>
    </w:pPr>
  </w:style>
  <w:style w:type="character" w:customStyle="1" w:styleId="Heading6Char">
    <w:name w:val="Heading 6 Char"/>
    <w:basedOn w:val="DefaultParagraphFont"/>
    <w:link w:val="Heading6"/>
    <w:uiPriority w:val="9"/>
    <w:rsid w:val="00242B78"/>
    <w:rPr>
      <w:rFonts w:asciiTheme="majorHAnsi" w:eastAsiaTheme="majorEastAsia" w:hAnsiTheme="majorHAnsi" w:cstheme="majorBidi"/>
      <w:b/>
      <w:i/>
      <w:iCs/>
      <w:color w:val="554B87"/>
    </w:rPr>
  </w:style>
  <w:style w:type="character" w:customStyle="1" w:styleId="Heading7Char">
    <w:name w:val="Heading 7 Char"/>
    <w:basedOn w:val="DefaultParagraphFont"/>
    <w:link w:val="Heading7"/>
    <w:uiPriority w:val="9"/>
    <w:rsid w:val="00242B78"/>
    <w:rPr>
      <w:rFonts w:asciiTheme="majorHAnsi" w:eastAsiaTheme="majorEastAsia" w:hAnsiTheme="majorHAnsi" w:cstheme="majorBidi"/>
      <w:b/>
      <w:i/>
      <w:iCs/>
      <w:color w:val="554B87"/>
    </w:rPr>
  </w:style>
  <w:style w:type="character" w:customStyle="1" w:styleId="Heading8Char">
    <w:name w:val="Heading 8 Char"/>
    <w:basedOn w:val="DefaultParagraphFont"/>
    <w:link w:val="Heading8"/>
    <w:uiPriority w:val="9"/>
    <w:rsid w:val="00242B78"/>
    <w:rPr>
      <w:rFonts w:asciiTheme="majorHAnsi" w:eastAsiaTheme="majorEastAsia" w:hAnsiTheme="majorHAnsi" w:cstheme="majorBidi"/>
      <w:b/>
      <w:color w:val="554B87"/>
      <w:sz w:val="21"/>
      <w:szCs w:val="21"/>
    </w:rPr>
  </w:style>
  <w:style w:type="character" w:customStyle="1" w:styleId="Heading9Char">
    <w:name w:val="Heading 9 Char"/>
    <w:basedOn w:val="DefaultParagraphFont"/>
    <w:link w:val="Heading9"/>
    <w:uiPriority w:val="9"/>
    <w:rsid w:val="00242B78"/>
    <w:rPr>
      <w:rFonts w:asciiTheme="majorHAnsi" w:eastAsiaTheme="majorEastAsia" w:hAnsiTheme="majorHAnsi" w:cstheme="majorBidi"/>
      <w:b/>
      <w:i/>
      <w:iCs/>
      <w:color w:val="554B87"/>
      <w:szCs w:val="21"/>
    </w:rPr>
  </w:style>
  <w:style w:type="character" w:styleId="PlaceholderText">
    <w:name w:val="Placeholder Text"/>
    <w:basedOn w:val="DefaultParagraphFont"/>
    <w:uiPriority w:val="99"/>
    <w:semiHidden/>
    <w:rsid w:val="0064138E"/>
    <w:rPr>
      <w:color w:val="808080"/>
    </w:rPr>
  </w:style>
  <w:style w:type="character" w:styleId="FollowedHyperlink">
    <w:name w:val="FollowedHyperlink"/>
    <w:basedOn w:val="DefaultParagraphFont"/>
    <w:uiPriority w:val="99"/>
    <w:semiHidden/>
    <w:unhideWhenUsed/>
    <w:rsid w:val="009B7EF0"/>
    <w:rPr>
      <w:color w:val="155589" w:themeColor="followedHyperlink"/>
      <w:u w:val="single"/>
    </w:rPr>
  </w:style>
  <w:style w:type="character" w:customStyle="1" w:styleId="UnresolvedMention1">
    <w:name w:val="Unresolved Mention1"/>
    <w:basedOn w:val="DefaultParagraphFont"/>
    <w:uiPriority w:val="99"/>
    <w:semiHidden/>
    <w:unhideWhenUsed/>
    <w:rsid w:val="0094124E"/>
    <w:rPr>
      <w:color w:val="808080"/>
      <w:shd w:val="clear" w:color="auto" w:fill="E6E6E6"/>
    </w:rPr>
  </w:style>
  <w:style w:type="paragraph" w:customStyle="1" w:styleId="Heading2-notshowing">
    <w:name w:val="Heading 2 - not showing"/>
    <w:basedOn w:val="Heading2"/>
    <w:qFormat/>
    <w:rsid w:val="00D03AE2"/>
    <w:pPr>
      <w:spacing w:after="120"/>
    </w:pPr>
    <w:rPr>
      <w:sz w:val="32"/>
    </w:rPr>
  </w:style>
  <w:style w:type="paragraph" w:customStyle="1" w:styleId="Heading3-notshowing">
    <w:name w:val="Heading 3 - not showing"/>
    <w:basedOn w:val="Heading3"/>
    <w:qFormat/>
    <w:rsid w:val="00D03AE2"/>
    <w:rPr>
      <w:sz w:val="28"/>
    </w:rPr>
  </w:style>
  <w:style w:type="paragraph" w:styleId="TOC1">
    <w:name w:val="toc 1"/>
    <w:basedOn w:val="Normal"/>
    <w:next w:val="Normal"/>
    <w:autoRedefine/>
    <w:uiPriority w:val="39"/>
    <w:unhideWhenUsed/>
    <w:rsid w:val="004755A2"/>
    <w:pPr>
      <w:tabs>
        <w:tab w:val="right" w:leader="dot" w:pos="9072"/>
      </w:tabs>
      <w:spacing w:before="120" w:after="0"/>
    </w:pPr>
    <w:rPr>
      <w:b/>
      <w:sz w:val="24"/>
    </w:rPr>
  </w:style>
  <w:style w:type="paragraph" w:styleId="TOC2">
    <w:name w:val="toc 2"/>
    <w:basedOn w:val="Normal"/>
    <w:next w:val="Normal"/>
    <w:autoRedefine/>
    <w:uiPriority w:val="39"/>
    <w:unhideWhenUsed/>
    <w:rsid w:val="00705B86"/>
    <w:pPr>
      <w:tabs>
        <w:tab w:val="right" w:leader="dot" w:pos="9072"/>
      </w:tabs>
      <w:spacing w:after="0"/>
      <w:ind w:left="567"/>
    </w:pPr>
  </w:style>
  <w:style w:type="paragraph" w:styleId="TOC3">
    <w:name w:val="toc 3"/>
    <w:basedOn w:val="Normal"/>
    <w:next w:val="Normal"/>
    <w:autoRedefine/>
    <w:uiPriority w:val="39"/>
    <w:unhideWhenUsed/>
    <w:rsid w:val="00705B86"/>
    <w:pPr>
      <w:tabs>
        <w:tab w:val="right" w:leader="dot" w:pos="9072"/>
      </w:tabs>
      <w:spacing w:after="0"/>
      <w:ind w:left="1134"/>
    </w:pPr>
  </w:style>
  <w:style w:type="paragraph" w:styleId="TOC4">
    <w:name w:val="toc 4"/>
    <w:basedOn w:val="Normal"/>
    <w:next w:val="Normal"/>
    <w:autoRedefine/>
    <w:uiPriority w:val="39"/>
    <w:unhideWhenUsed/>
    <w:rsid w:val="00705B86"/>
    <w:pPr>
      <w:tabs>
        <w:tab w:val="right" w:leader="dot" w:pos="9072"/>
      </w:tabs>
      <w:spacing w:after="0"/>
    </w:pPr>
  </w:style>
  <w:style w:type="paragraph" w:customStyle="1" w:styleId="Sourcenote">
    <w:name w:val="Source / note"/>
    <w:basedOn w:val="Normal"/>
    <w:next w:val="Normal"/>
    <w:qFormat/>
    <w:rsid w:val="00C16794"/>
    <w:rPr>
      <w:sz w:val="20"/>
      <w:szCs w:val="20"/>
    </w:rPr>
  </w:style>
  <w:style w:type="paragraph" w:styleId="ListParagraph">
    <w:name w:val="List Paragraph"/>
    <w:basedOn w:val="Normal"/>
    <w:uiPriority w:val="34"/>
    <w:qFormat/>
    <w:rsid w:val="00C16794"/>
    <w:pPr>
      <w:numPr>
        <w:numId w:val="3"/>
      </w:numPr>
      <w:ind w:left="567" w:hanging="567"/>
      <w:contextualSpacing/>
    </w:pPr>
  </w:style>
  <w:style w:type="paragraph" w:styleId="FootnoteText">
    <w:name w:val="footnote text"/>
    <w:basedOn w:val="Normal"/>
    <w:link w:val="FootnoteTextChar"/>
    <w:uiPriority w:val="99"/>
    <w:semiHidden/>
    <w:unhideWhenUsed/>
    <w:rsid w:val="003B5B1D"/>
    <w:pPr>
      <w:spacing w:after="0"/>
    </w:pPr>
    <w:rPr>
      <w:sz w:val="20"/>
      <w:szCs w:val="20"/>
    </w:rPr>
  </w:style>
  <w:style w:type="character" w:customStyle="1" w:styleId="FootnoteTextChar">
    <w:name w:val="Footnote Text Char"/>
    <w:basedOn w:val="DefaultParagraphFont"/>
    <w:link w:val="FootnoteText"/>
    <w:uiPriority w:val="99"/>
    <w:semiHidden/>
    <w:rsid w:val="003B5B1D"/>
    <w:rPr>
      <w:sz w:val="20"/>
      <w:szCs w:val="20"/>
    </w:rPr>
  </w:style>
  <w:style w:type="character" w:styleId="FootnoteReference">
    <w:name w:val="footnote reference"/>
    <w:basedOn w:val="DefaultParagraphFont"/>
    <w:uiPriority w:val="99"/>
    <w:semiHidden/>
    <w:unhideWhenUsed/>
    <w:rsid w:val="003B5B1D"/>
    <w:rPr>
      <w:vertAlign w:val="superscript"/>
    </w:rPr>
  </w:style>
  <w:style w:type="character" w:customStyle="1" w:styleId="superscriptfootnotereference">
    <w:name w:val="superscript footnote reference"/>
    <w:basedOn w:val="FootnoteReference"/>
    <w:uiPriority w:val="1"/>
    <w:qFormat/>
    <w:rsid w:val="003B5B1D"/>
    <w:rPr>
      <w:vertAlign w:val="superscript"/>
    </w:rPr>
  </w:style>
  <w:style w:type="paragraph" w:styleId="BalloonText">
    <w:name w:val="Balloon Text"/>
    <w:basedOn w:val="Normal"/>
    <w:link w:val="BalloonTextChar"/>
    <w:uiPriority w:val="99"/>
    <w:semiHidden/>
    <w:unhideWhenUsed/>
    <w:rsid w:val="00426BF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BF7"/>
    <w:rPr>
      <w:rFonts w:ascii="Tahoma" w:hAnsi="Tahoma" w:cs="Tahoma"/>
      <w:sz w:val="16"/>
      <w:szCs w:val="16"/>
    </w:rPr>
  </w:style>
  <w:style w:type="paragraph" w:customStyle="1" w:styleId="bullet-arrow">
    <w:name w:val="bullet - arrow"/>
    <w:basedOn w:val="Bulletlevel1"/>
    <w:qFormat/>
    <w:rsid w:val="00FC2425"/>
    <w:pPr>
      <w:numPr>
        <w:numId w:val="6"/>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1562">
      <w:bodyDiv w:val="1"/>
      <w:marLeft w:val="0"/>
      <w:marRight w:val="0"/>
      <w:marTop w:val="0"/>
      <w:marBottom w:val="0"/>
      <w:divBdr>
        <w:top w:val="none" w:sz="0" w:space="0" w:color="auto"/>
        <w:left w:val="none" w:sz="0" w:space="0" w:color="auto"/>
        <w:bottom w:val="none" w:sz="0" w:space="0" w:color="auto"/>
        <w:right w:val="none" w:sz="0" w:space="0" w:color="auto"/>
      </w:divBdr>
    </w:div>
    <w:div w:id="78791466">
      <w:bodyDiv w:val="1"/>
      <w:marLeft w:val="0"/>
      <w:marRight w:val="0"/>
      <w:marTop w:val="0"/>
      <w:marBottom w:val="0"/>
      <w:divBdr>
        <w:top w:val="none" w:sz="0" w:space="0" w:color="auto"/>
        <w:left w:val="none" w:sz="0" w:space="0" w:color="auto"/>
        <w:bottom w:val="none" w:sz="0" w:space="0" w:color="auto"/>
        <w:right w:val="none" w:sz="0" w:space="0" w:color="auto"/>
      </w:divBdr>
    </w:div>
    <w:div w:id="479537634">
      <w:bodyDiv w:val="1"/>
      <w:marLeft w:val="0"/>
      <w:marRight w:val="0"/>
      <w:marTop w:val="0"/>
      <w:marBottom w:val="0"/>
      <w:divBdr>
        <w:top w:val="none" w:sz="0" w:space="0" w:color="auto"/>
        <w:left w:val="none" w:sz="0" w:space="0" w:color="auto"/>
        <w:bottom w:val="none" w:sz="0" w:space="0" w:color="auto"/>
        <w:right w:val="none" w:sz="0" w:space="0" w:color="auto"/>
      </w:divBdr>
    </w:div>
    <w:div w:id="963734609">
      <w:bodyDiv w:val="1"/>
      <w:marLeft w:val="0"/>
      <w:marRight w:val="0"/>
      <w:marTop w:val="0"/>
      <w:marBottom w:val="0"/>
      <w:divBdr>
        <w:top w:val="none" w:sz="0" w:space="0" w:color="auto"/>
        <w:left w:val="none" w:sz="0" w:space="0" w:color="auto"/>
        <w:bottom w:val="none" w:sz="0" w:space="0" w:color="auto"/>
        <w:right w:val="none" w:sz="0" w:space="0" w:color="auto"/>
      </w:divBdr>
    </w:div>
    <w:div w:id="1000500526">
      <w:bodyDiv w:val="1"/>
      <w:marLeft w:val="0"/>
      <w:marRight w:val="0"/>
      <w:marTop w:val="0"/>
      <w:marBottom w:val="0"/>
      <w:divBdr>
        <w:top w:val="none" w:sz="0" w:space="0" w:color="auto"/>
        <w:left w:val="none" w:sz="0" w:space="0" w:color="auto"/>
        <w:bottom w:val="none" w:sz="0" w:space="0" w:color="auto"/>
        <w:right w:val="none" w:sz="0" w:space="0" w:color="auto"/>
      </w:divBdr>
    </w:div>
    <w:div w:id="1019699486">
      <w:bodyDiv w:val="1"/>
      <w:marLeft w:val="0"/>
      <w:marRight w:val="0"/>
      <w:marTop w:val="0"/>
      <w:marBottom w:val="0"/>
      <w:divBdr>
        <w:top w:val="none" w:sz="0" w:space="0" w:color="auto"/>
        <w:left w:val="none" w:sz="0" w:space="0" w:color="auto"/>
        <w:bottom w:val="none" w:sz="0" w:space="0" w:color="auto"/>
        <w:right w:val="none" w:sz="0" w:space="0" w:color="auto"/>
      </w:divBdr>
    </w:div>
    <w:div w:id="1523133319">
      <w:bodyDiv w:val="1"/>
      <w:marLeft w:val="0"/>
      <w:marRight w:val="0"/>
      <w:marTop w:val="0"/>
      <w:marBottom w:val="0"/>
      <w:divBdr>
        <w:top w:val="none" w:sz="0" w:space="0" w:color="auto"/>
        <w:left w:val="none" w:sz="0" w:space="0" w:color="auto"/>
        <w:bottom w:val="none" w:sz="0" w:space="0" w:color="auto"/>
        <w:right w:val="none" w:sz="0" w:space="0" w:color="auto"/>
      </w:divBdr>
    </w:div>
    <w:div w:id="17204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77D1F5"/>
      </a:accent1>
      <a:accent2>
        <a:srgbClr val="4EB2B5"/>
      </a:accent2>
      <a:accent3>
        <a:srgbClr val="959ACD"/>
      </a:accent3>
      <a:accent4>
        <a:srgbClr val="1177AD"/>
      </a:accent4>
      <a:accent5>
        <a:srgbClr val="BADB98"/>
      </a:accent5>
      <a:accent6>
        <a:srgbClr val="626E81"/>
      </a:accent6>
      <a:hlink>
        <a:srgbClr val="155589"/>
      </a:hlink>
      <a:folHlink>
        <a:srgbClr val="155589"/>
      </a:folHlink>
    </a:clrScheme>
    <a:fontScheme name="DoCA">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7B39E63ECABE45BA5673B7435689C3" ma:contentTypeVersion="0" ma:contentTypeDescription="Create a new document." ma:contentTypeScope="" ma:versionID="babba693fa52bdcb4e6f530a0fd95a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7B9E-5BD0-4F63-8F8D-1187124C6A1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32A4504-C9CB-453C-8761-1105EED3AE2B}">
  <ds:schemaRefs>
    <ds:schemaRef ds:uri="http://schemas.microsoft.com/sharepoint/v3/contenttype/forms"/>
  </ds:schemaRefs>
</ds:datastoreItem>
</file>

<file path=customXml/itemProps3.xml><?xml version="1.0" encoding="utf-8"?>
<ds:datastoreItem xmlns:ds="http://schemas.openxmlformats.org/officeDocument/2006/customXml" ds:itemID="{8F910E07-75F5-4A26-8134-6E95772B8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09B8D1-3B72-4193-8073-259A64FC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2353</Characters>
  <Application>Microsoft Office Word</Application>
  <DocSecurity>0</DocSecurity>
  <Lines>52</Lines>
  <Paragraphs>40</Paragraphs>
  <ScaleCrop>false</ScaleCrop>
  <HeadingPairs>
    <vt:vector size="2" baseType="variant">
      <vt:variant>
        <vt:lpstr>Title</vt:lpstr>
      </vt:variant>
      <vt:variant>
        <vt:i4>1</vt:i4>
      </vt:variant>
    </vt:vector>
  </HeadingPairs>
  <TitlesOfParts>
    <vt:vector size="1" baseType="lpstr">
      <vt:lpstr>Cultural Funding by Government — 2017–18 — Australian Government</vt:lpstr>
    </vt:vector>
  </TitlesOfParts>
  <Company>Department of Communications and the Arts</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Funding by Government — 2017–18 — Australian Government</dc:title>
  <dc:subject/>
  <dc:creator>Department of Communications and the Arts</dc:creator>
  <cp:keywords/>
  <dc:description>22 November 2018</dc:description>
  <cp:lastModifiedBy>Hall, Theresa</cp:lastModifiedBy>
  <cp:revision>2</cp:revision>
  <cp:lastPrinted>2019-05-16T03:54:00Z</cp:lastPrinted>
  <dcterms:created xsi:type="dcterms:W3CDTF">2019-07-03T06:43:00Z</dcterms:created>
  <dcterms:modified xsi:type="dcterms:W3CDTF">2019-07-03T06:43:00Z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0x0101002A7B39E63ECABE45BA5673B7435689C3</vt:lpwstr>
  </property>
  <property fmtid="{D5CDD505-2E9C-101B-9397-08002B2CF9AE}" pid="3" name="TrimRevisionNumber">
    <vt:i4>1</vt:i4>
  </property>
</Properties>
</file>