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653E" w14:textId="77748276" w:rsidR="0091299C" w:rsidRPr="0091299C" w:rsidRDefault="0091299C" w:rsidP="0091299C">
      <w:pPr>
        <w:spacing w:before="0" w:after="0"/>
        <w:ind w:left="-1418"/>
      </w:pPr>
      <w:bookmarkStart w:id="0" w:name="_Hlk150152067"/>
      <w:r>
        <w:rPr>
          <w:noProof/>
        </w:rPr>
        <w:drawing>
          <wp:inline distT="0" distB="0" distL="0" distR="0" wp14:anchorId="4BBDDB0F" wp14:editId="66838C72">
            <wp:extent cx="7650823" cy="1965716"/>
            <wp:effectExtent l="0" t="0" r="7620" b="0"/>
            <wp:docPr id="4" name="Picture 4"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01629" cy="1978770"/>
                    </a:xfrm>
                    <a:prstGeom prst="rect">
                      <a:avLst/>
                    </a:prstGeom>
                  </pic:spPr>
                </pic:pic>
              </a:graphicData>
            </a:graphic>
          </wp:inline>
        </w:drawing>
      </w:r>
    </w:p>
    <w:p w14:paraId="5E593A00" w14:textId="3DB4BB4E" w:rsidR="0091299C" w:rsidRPr="00B041CB" w:rsidRDefault="0091299C" w:rsidP="0091299C">
      <w:pPr>
        <w:pStyle w:val="Heading1"/>
        <w:ind w:left="-426"/>
      </w:pPr>
      <w:r>
        <w:t>Australian Lending Rights</w:t>
      </w:r>
    </w:p>
    <w:p w14:paraId="18222EF3" w14:textId="77777777" w:rsidR="0091299C" w:rsidRPr="00B041CB" w:rsidRDefault="0091299C" w:rsidP="0091299C">
      <w:pPr>
        <w:pBdr>
          <w:bottom w:val="single" w:sz="4" w:space="1" w:color="C0D48F"/>
        </w:pBdr>
        <w:spacing w:after="360"/>
        <w:ind w:left="-426"/>
        <w:rPr>
          <w:rFonts w:eastAsia="Calibri" w:cs="Times New Roman"/>
          <w:color w:val="000000"/>
          <w:kern w:val="12"/>
          <w:szCs w:val="20"/>
        </w:rPr>
      </w:pPr>
      <w:bookmarkStart w:id="1" w:name="_Toc49855349"/>
    </w:p>
    <w:p w14:paraId="726FD0FA" w14:textId="77777777" w:rsidR="0091299C" w:rsidRDefault="0091299C" w:rsidP="0091299C">
      <w:pPr>
        <w:pStyle w:val="Subtitle"/>
        <w:spacing w:before="0" w:after="0"/>
        <w:ind w:left="-426"/>
        <w:sectPr w:rsidR="0091299C" w:rsidSect="0091299C">
          <w:type w:val="continuous"/>
          <w:pgSz w:w="11906" w:h="16838"/>
          <w:pgMar w:top="0" w:right="991" w:bottom="1276" w:left="1440" w:header="567" w:footer="0" w:gutter="0"/>
          <w:cols w:space="708"/>
          <w:titlePg/>
          <w:docGrid w:linePitch="360"/>
        </w:sectPr>
      </w:pPr>
    </w:p>
    <w:p w14:paraId="613CAFE7" w14:textId="77777777" w:rsidR="00C022F9" w:rsidRDefault="00C022F9" w:rsidP="002773D1">
      <w:pPr>
        <w:pStyle w:val="Heading2"/>
        <w:rPr>
          <w:rFonts w:asciiTheme="minorHAnsi" w:eastAsiaTheme="minorHAnsi" w:hAnsiTheme="minorHAnsi" w:cstheme="minorBidi"/>
          <w:color w:val="347C7E" w:themeColor="accent2"/>
          <w:sz w:val="26"/>
          <w:szCs w:val="22"/>
          <w:lang w:val="x-none"/>
        </w:rPr>
      </w:pPr>
      <w:r w:rsidRPr="00C022F9">
        <w:rPr>
          <w:rFonts w:asciiTheme="minorHAnsi" w:eastAsiaTheme="minorHAnsi" w:hAnsiTheme="minorHAnsi" w:cstheme="minorBidi"/>
          <w:color w:val="347C7E" w:themeColor="accent2"/>
          <w:sz w:val="26"/>
          <w:szCs w:val="22"/>
          <w:lang w:val="x-none"/>
        </w:rPr>
        <w:t>Public Lending Right (PLR) and Educational Lending Right (ELR) are Australian Government programs that compensate Australian creators and publishers in recognition of income lost through free multiple use of their books in public and educational lending libraries. These programs support the enrichment of Australian culture by encouraging the growth and development of Australian writing.</w:t>
      </w:r>
    </w:p>
    <w:bookmarkEnd w:id="1"/>
    <w:p w14:paraId="1DF9C9E9" w14:textId="12828B23" w:rsidR="005F794B" w:rsidRDefault="00C022F9" w:rsidP="002773D1">
      <w:pPr>
        <w:pStyle w:val="Heading2"/>
      </w:pPr>
      <w:r>
        <w:t>Am I eligible?</w:t>
      </w:r>
    </w:p>
    <w:p w14:paraId="39EAE7BB" w14:textId="71710664" w:rsidR="00C022F9" w:rsidRDefault="00C022F9" w:rsidP="00C022F9">
      <w:r>
        <w:t>Eligible creators are:</w:t>
      </w:r>
    </w:p>
    <w:p w14:paraId="779C8424" w14:textId="77777777" w:rsidR="00C022F9" w:rsidRPr="001F4276" w:rsidRDefault="00C022F9" w:rsidP="00C022F9">
      <w:pPr>
        <w:pStyle w:val="ListParagraph"/>
        <w:numPr>
          <w:ilvl w:val="0"/>
          <w:numId w:val="30"/>
        </w:numPr>
        <w:suppressAutoHyphens w:val="0"/>
        <w:spacing w:before="0" w:after="160" w:line="278" w:lineRule="auto"/>
        <w:ind w:left="360"/>
      </w:pPr>
      <w:r w:rsidRPr="001F4276">
        <w:t>living authors, editors, illustrators, translators and compilers</w:t>
      </w:r>
    </w:p>
    <w:p w14:paraId="5D2B3530" w14:textId="77777777" w:rsidR="00C022F9" w:rsidRDefault="00C022F9" w:rsidP="00C022F9">
      <w:pPr>
        <w:pStyle w:val="ListParagraph"/>
        <w:numPr>
          <w:ilvl w:val="0"/>
          <w:numId w:val="30"/>
        </w:numPr>
        <w:suppressAutoHyphens w:val="0"/>
        <w:spacing w:before="0" w:after="160" w:line="278" w:lineRule="auto"/>
        <w:ind w:left="360"/>
      </w:pPr>
      <w:r w:rsidRPr="001F4276">
        <w:t>Australian citizens, wherever they reside, or non-citizens who permanently reside in Australia (eligibility ceases if residency in Australia ceases)</w:t>
      </w:r>
    </w:p>
    <w:p w14:paraId="15F6F694" w14:textId="5DA452CB" w:rsidR="00C022F9" w:rsidRDefault="00C022F9" w:rsidP="00C022F9">
      <w:pPr>
        <w:pStyle w:val="ListParagraph"/>
        <w:numPr>
          <w:ilvl w:val="0"/>
          <w:numId w:val="30"/>
        </w:numPr>
        <w:suppressAutoHyphens w:val="0"/>
        <w:spacing w:before="0" w:after="160" w:line="278" w:lineRule="auto"/>
        <w:ind w:left="360"/>
      </w:pPr>
      <w:r w:rsidRPr="001F4276">
        <w:t>those who receive on-going royalties, or financial interest, from the sale of their book</w:t>
      </w:r>
      <w:r>
        <w:t>.</w:t>
      </w:r>
    </w:p>
    <w:p w14:paraId="6E0BD81B" w14:textId="432CD759" w:rsidR="00C022F9" w:rsidRDefault="00C022F9" w:rsidP="00C022F9">
      <w:pPr>
        <w:suppressAutoHyphens w:val="0"/>
        <w:spacing w:before="0" w:after="160" w:line="278" w:lineRule="auto"/>
      </w:pPr>
      <w:r>
        <w:t>Eligible publishers are:</w:t>
      </w:r>
    </w:p>
    <w:p w14:paraId="5C7B2CB8" w14:textId="77777777" w:rsidR="00C022F9" w:rsidRPr="001F4276" w:rsidRDefault="00C022F9" w:rsidP="00C022F9">
      <w:pPr>
        <w:pStyle w:val="ListParagraph"/>
        <w:numPr>
          <w:ilvl w:val="0"/>
          <w:numId w:val="30"/>
        </w:numPr>
        <w:suppressAutoHyphens w:val="0"/>
        <w:spacing w:before="0" w:after="160" w:line="278" w:lineRule="auto"/>
        <w:ind w:left="360"/>
      </w:pPr>
      <w:r w:rsidRPr="001F4276">
        <w:t>companies whose business consists wholly or substantially of the publication of books and who regularly publish (at least once in the preceding three years) in Australia</w:t>
      </w:r>
    </w:p>
    <w:p w14:paraId="1A91406E" w14:textId="77777777" w:rsidR="00C022F9" w:rsidRDefault="00C022F9" w:rsidP="00C022F9">
      <w:pPr>
        <w:pStyle w:val="ListParagraph"/>
        <w:numPr>
          <w:ilvl w:val="0"/>
          <w:numId w:val="31"/>
        </w:numPr>
        <w:suppressAutoHyphens w:val="0"/>
        <w:spacing w:before="0" w:after="160" w:line="278" w:lineRule="auto"/>
        <w:ind w:left="360"/>
      </w:pPr>
      <w:r w:rsidRPr="001F4276">
        <w:t>non-profit organisations that publish to further their aims or objectives</w:t>
      </w:r>
    </w:p>
    <w:p w14:paraId="19A0BD68" w14:textId="51618923" w:rsidR="00C022F9" w:rsidRDefault="00C022F9" w:rsidP="00C022F9">
      <w:pPr>
        <w:pStyle w:val="ListParagraph"/>
        <w:numPr>
          <w:ilvl w:val="0"/>
          <w:numId w:val="31"/>
        </w:numPr>
        <w:suppressAutoHyphens w:val="0"/>
        <w:spacing w:before="0" w:after="160" w:line="278" w:lineRule="auto"/>
        <w:ind w:left="360"/>
      </w:pPr>
      <w:r w:rsidRPr="001F4276">
        <w:t>self-publishing creators</w:t>
      </w:r>
      <w:r>
        <w:t>.</w:t>
      </w:r>
    </w:p>
    <w:p w14:paraId="3F829C4F" w14:textId="36E8F2C7" w:rsidR="00C022F9" w:rsidRDefault="00C022F9" w:rsidP="00C022F9">
      <w:pPr>
        <w:pStyle w:val="Heading2"/>
      </w:pPr>
      <w:r>
        <w:t>Is my book eligible?</w:t>
      </w:r>
    </w:p>
    <w:p w14:paraId="760BF81D" w14:textId="11244108" w:rsidR="00C022F9" w:rsidRDefault="00C022F9" w:rsidP="00C022F9">
      <w:pPr>
        <w:suppressAutoHyphens w:val="0"/>
        <w:spacing w:before="0" w:after="160" w:line="278" w:lineRule="auto"/>
      </w:pPr>
      <w:r>
        <w:t>Eligible books have:</w:t>
      </w:r>
    </w:p>
    <w:p w14:paraId="21412BA9" w14:textId="77777777" w:rsidR="00C022F9" w:rsidRPr="001F4276" w:rsidRDefault="00C022F9" w:rsidP="00C022F9">
      <w:pPr>
        <w:pStyle w:val="ListParagraph"/>
        <w:numPr>
          <w:ilvl w:val="0"/>
          <w:numId w:val="32"/>
        </w:numPr>
        <w:suppressAutoHyphens w:val="0"/>
        <w:spacing w:before="0" w:after="160" w:line="278" w:lineRule="auto"/>
      </w:pPr>
      <w:r w:rsidRPr="001F4276">
        <w:t>an International Standard Book Number (ISBN)</w:t>
      </w:r>
    </w:p>
    <w:p w14:paraId="3A53C0EF" w14:textId="77777777" w:rsidR="00C022F9" w:rsidRDefault="00C022F9" w:rsidP="00C022F9">
      <w:pPr>
        <w:pStyle w:val="ListParagraph"/>
        <w:numPr>
          <w:ilvl w:val="0"/>
          <w:numId w:val="32"/>
        </w:numPr>
        <w:suppressAutoHyphens w:val="0"/>
        <w:spacing w:before="0" w:after="160" w:line="278" w:lineRule="auto"/>
      </w:pPr>
      <w:r w:rsidRPr="001F4276">
        <w:t>been published and offered for sale and claimed within five years from the year of publication</w:t>
      </w:r>
    </w:p>
    <w:p w14:paraId="5E2A8BC7" w14:textId="4D3D0E20" w:rsidR="00C022F9" w:rsidRDefault="00C022F9" w:rsidP="00C022F9">
      <w:pPr>
        <w:pStyle w:val="ListParagraph"/>
        <w:numPr>
          <w:ilvl w:val="0"/>
          <w:numId w:val="32"/>
        </w:numPr>
        <w:suppressAutoHyphens w:val="0"/>
        <w:spacing w:before="0" w:after="160" w:line="278" w:lineRule="auto"/>
      </w:pPr>
      <w:r w:rsidRPr="001F4276">
        <w:t>a catalogue record in the Australian National Bibliographic Database or Schools Catalogue Information Service (SCIS)</w:t>
      </w:r>
    </w:p>
    <w:p w14:paraId="380ED225" w14:textId="77777777" w:rsidR="00C022F9" w:rsidRPr="001F4276" w:rsidRDefault="00C022F9" w:rsidP="00C022F9">
      <w:pPr>
        <w:pStyle w:val="ListParagraph"/>
        <w:numPr>
          <w:ilvl w:val="0"/>
          <w:numId w:val="32"/>
        </w:numPr>
        <w:suppressAutoHyphens w:val="0"/>
        <w:spacing w:before="0" w:after="160" w:line="278" w:lineRule="auto"/>
      </w:pPr>
      <w:r w:rsidRPr="001F4276">
        <w:t>creators are individuals (companies or organisations are not eligible creators)</w:t>
      </w:r>
    </w:p>
    <w:p w14:paraId="2196FA58" w14:textId="1D9A763D" w:rsidR="00C022F9" w:rsidRDefault="00C022F9" w:rsidP="00C022F9">
      <w:pPr>
        <w:pStyle w:val="ListParagraph"/>
        <w:numPr>
          <w:ilvl w:val="0"/>
          <w:numId w:val="32"/>
        </w:numPr>
        <w:suppressAutoHyphens w:val="0"/>
        <w:spacing w:before="0" w:after="160" w:line="278" w:lineRule="auto"/>
      </w:pPr>
      <w:r w:rsidRPr="001F4276">
        <w:t>no more than five eligible creators</w:t>
      </w:r>
      <w:r>
        <w:t>.</w:t>
      </w:r>
    </w:p>
    <w:p w14:paraId="04302FA0" w14:textId="6521B6E5" w:rsidR="00C022F9" w:rsidRDefault="00C022F9" w:rsidP="00DC0146">
      <w:pPr>
        <w:pStyle w:val="Heading2"/>
      </w:pPr>
      <w:r>
        <w:lastRenderedPageBreak/>
        <w:t>Title claims</w:t>
      </w:r>
    </w:p>
    <w:p w14:paraId="11571ED9" w14:textId="0A130D93" w:rsidR="00C022F9" w:rsidRDefault="00C022F9" w:rsidP="00DC0146">
      <w:pPr>
        <w:keepNext/>
        <w:keepLines/>
      </w:pPr>
      <w:r>
        <w:t>The closing date for title claims is 31 March each year.</w:t>
      </w:r>
    </w:p>
    <w:p w14:paraId="4ABCD2FF" w14:textId="4C50B762" w:rsidR="00C022F9" w:rsidRDefault="00C022F9" w:rsidP="00DC0146">
      <w:pPr>
        <w:keepNext/>
        <w:keepLines/>
      </w:pPr>
      <w:r>
        <w:t>New claimant:</w:t>
      </w:r>
    </w:p>
    <w:p w14:paraId="65D9D4D3" w14:textId="77777777" w:rsidR="00C022F9" w:rsidRPr="001F4276" w:rsidRDefault="00C022F9" w:rsidP="00DC0146">
      <w:pPr>
        <w:pStyle w:val="ListParagraph"/>
        <w:keepNext/>
        <w:keepLines/>
        <w:numPr>
          <w:ilvl w:val="0"/>
          <w:numId w:val="34"/>
        </w:numPr>
        <w:suppressAutoHyphens w:val="0"/>
        <w:spacing w:before="0" w:after="160" w:line="278" w:lineRule="auto"/>
      </w:pPr>
      <w:r w:rsidRPr="001F4276">
        <w:t xml:space="preserve">go to </w:t>
      </w:r>
      <w:hyperlink r:id="rId13" w:history="1">
        <w:r w:rsidRPr="001F4276">
          <w:rPr>
            <w:rStyle w:val="Hyperlink"/>
          </w:rPr>
          <w:t>https://lendingrights.arts.gov.au</w:t>
        </w:r>
      </w:hyperlink>
    </w:p>
    <w:p w14:paraId="4B07A295" w14:textId="77777777" w:rsidR="00C022F9" w:rsidRDefault="00C022F9" w:rsidP="00DC0146">
      <w:pPr>
        <w:pStyle w:val="ListParagraph"/>
        <w:keepNext/>
        <w:keepLines/>
        <w:numPr>
          <w:ilvl w:val="0"/>
          <w:numId w:val="34"/>
        </w:numPr>
        <w:suppressAutoHyphens w:val="0"/>
        <w:spacing w:before="0" w:after="160" w:line="278" w:lineRule="auto"/>
      </w:pPr>
      <w:r w:rsidRPr="001F4276">
        <w:t>register as a new claimant</w:t>
      </w:r>
    </w:p>
    <w:p w14:paraId="4CA5D68A" w14:textId="7EF504D1" w:rsidR="00C022F9" w:rsidRDefault="00C022F9" w:rsidP="00DC0146">
      <w:pPr>
        <w:pStyle w:val="ListParagraph"/>
        <w:keepNext/>
        <w:keepLines/>
        <w:numPr>
          <w:ilvl w:val="0"/>
          <w:numId w:val="34"/>
        </w:numPr>
        <w:suppressAutoHyphens w:val="0"/>
        <w:spacing w:before="0" w:after="160" w:line="278" w:lineRule="auto"/>
      </w:pPr>
      <w:r w:rsidRPr="001F4276">
        <w:t>lodge your title claims</w:t>
      </w:r>
      <w:r>
        <w:t>.</w:t>
      </w:r>
    </w:p>
    <w:p w14:paraId="1D948730" w14:textId="5580D194" w:rsidR="00C022F9" w:rsidRDefault="00C022F9" w:rsidP="00C022F9">
      <w:pPr>
        <w:suppressAutoHyphens w:val="0"/>
        <w:spacing w:before="0" w:after="160" w:line="278" w:lineRule="auto"/>
      </w:pPr>
      <w:r>
        <w:t>Existing claimant:</w:t>
      </w:r>
    </w:p>
    <w:p w14:paraId="61CC2492" w14:textId="77777777" w:rsidR="00C022F9" w:rsidRPr="001F4276" w:rsidRDefault="00C022F9" w:rsidP="00C022F9">
      <w:pPr>
        <w:pStyle w:val="ListParagraph"/>
        <w:numPr>
          <w:ilvl w:val="0"/>
          <w:numId w:val="35"/>
        </w:numPr>
        <w:suppressAutoHyphens w:val="0"/>
        <w:spacing w:before="0" w:after="160" w:line="278" w:lineRule="auto"/>
      </w:pPr>
      <w:r w:rsidRPr="001F4276">
        <w:t xml:space="preserve">go to </w:t>
      </w:r>
      <w:hyperlink r:id="rId14" w:history="1">
        <w:r w:rsidRPr="001F4276">
          <w:rPr>
            <w:rStyle w:val="Hyperlink"/>
          </w:rPr>
          <w:t>https://lendingrights.arts.gov.au/SignIn</w:t>
        </w:r>
      </w:hyperlink>
    </w:p>
    <w:p w14:paraId="5453E197" w14:textId="77777777" w:rsidR="00C022F9" w:rsidRDefault="00C022F9" w:rsidP="00C022F9">
      <w:pPr>
        <w:pStyle w:val="ListParagraph"/>
        <w:numPr>
          <w:ilvl w:val="0"/>
          <w:numId w:val="35"/>
        </w:numPr>
        <w:suppressAutoHyphens w:val="0"/>
        <w:spacing w:before="0" w:after="160" w:line="278" w:lineRule="auto"/>
      </w:pPr>
      <w:r w:rsidRPr="001F4276">
        <w:t>sign in using your claimant number and password</w:t>
      </w:r>
    </w:p>
    <w:p w14:paraId="56024859" w14:textId="218A0F31" w:rsidR="00C022F9" w:rsidRDefault="00C022F9" w:rsidP="00C022F9">
      <w:pPr>
        <w:pStyle w:val="ListParagraph"/>
        <w:numPr>
          <w:ilvl w:val="0"/>
          <w:numId w:val="35"/>
        </w:numPr>
        <w:suppressAutoHyphens w:val="0"/>
        <w:spacing w:before="0" w:after="160" w:line="278" w:lineRule="auto"/>
      </w:pPr>
      <w:r w:rsidRPr="001F4276">
        <w:t>lodge your title claims</w:t>
      </w:r>
      <w:r w:rsidR="00DC0146">
        <w:t>.</w:t>
      </w:r>
    </w:p>
    <w:p w14:paraId="3EEE4484" w14:textId="5FA24E25" w:rsidR="00C022F9" w:rsidRDefault="00C022F9" w:rsidP="00C022F9">
      <w:pPr>
        <w:pStyle w:val="Heading2"/>
      </w:pPr>
      <w:r>
        <w:t>Title claims processing</w:t>
      </w:r>
    </w:p>
    <w:p w14:paraId="47596FDF" w14:textId="4BC9203A" w:rsidR="00DC0146" w:rsidRPr="00DC0146" w:rsidRDefault="00DC0146" w:rsidP="00DC0146">
      <w:r>
        <w:t>Assessment of eligibility:</w:t>
      </w:r>
    </w:p>
    <w:p w14:paraId="58802D56" w14:textId="628EC432" w:rsidR="00C022F9" w:rsidRDefault="00C022F9" w:rsidP="00C022F9">
      <w:pPr>
        <w:pStyle w:val="ListParagraph"/>
        <w:numPr>
          <w:ilvl w:val="0"/>
          <w:numId w:val="36"/>
        </w:numPr>
        <w:suppressAutoHyphens w:val="0"/>
        <w:spacing w:before="0" w:after="160" w:line="278" w:lineRule="auto"/>
      </w:pPr>
      <w:r w:rsidRPr="001F4276">
        <w:t>title claims are assessed; new books are assigned a Book Reference Number (BRN)</w:t>
      </w:r>
    </w:p>
    <w:p w14:paraId="5EB476DA" w14:textId="5BE31A4A" w:rsidR="00C022F9" w:rsidRDefault="00C022F9" w:rsidP="00C022F9">
      <w:pPr>
        <w:pStyle w:val="ListParagraph"/>
        <w:numPr>
          <w:ilvl w:val="0"/>
          <w:numId w:val="36"/>
        </w:numPr>
        <w:suppressAutoHyphens w:val="0"/>
        <w:spacing w:before="0" w:after="160" w:line="278" w:lineRule="auto"/>
      </w:pPr>
      <w:r w:rsidRPr="001F4276">
        <w:t>new and previously existing eligible books are surveyed</w:t>
      </w:r>
      <w:r>
        <w:t>.</w:t>
      </w:r>
    </w:p>
    <w:p w14:paraId="3AA50F36" w14:textId="0B5C38D8" w:rsidR="00C022F9" w:rsidRDefault="00C022F9" w:rsidP="00C022F9">
      <w:pPr>
        <w:pStyle w:val="Heading2"/>
      </w:pPr>
      <w:r>
        <w:t>Annual survey process</w:t>
      </w:r>
    </w:p>
    <w:p w14:paraId="73A55CC8" w14:textId="76E38583" w:rsidR="00C022F9" w:rsidRDefault="00C022F9" w:rsidP="00C022F9">
      <w:r>
        <w:t>Public Lending Right (PLR):</w:t>
      </w:r>
    </w:p>
    <w:p w14:paraId="359A4CAD" w14:textId="09013AB3" w:rsidR="00C022F9" w:rsidRDefault="00C022F9" w:rsidP="00C022F9">
      <w:pPr>
        <w:pStyle w:val="ListParagraph"/>
        <w:numPr>
          <w:ilvl w:val="0"/>
          <w:numId w:val="37"/>
        </w:numPr>
        <w:suppressAutoHyphens w:val="0"/>
        <w:spacing w:before="0" w:after="160" w:line="278" w:lineRule="auto"/>
      </w:pPr>
      <w:r w:rsidRPr="001F4276">
        <w:t>book scores are estimated based on a survey of public library data</w:t>
      </w:r>
      <w:r>
        <w:t>.</w:t>
      </w:r>
    </w:p>
    <w:p w14:paraId="7E9B28F0" w14:textId="1185DE31" w:rsidR="00C022F9" w:rsidRDefault="00C022F9" w:rsidP="00C022F9">
      <w:pPr>
        <w:suppressAutoHyphens w:val="0"/>
        <w:spacing w:before="0" w:after="160" w:line="278" w:lineRule="auto"/>
      </w:pPr>
      <w:r>
        <w:t>Educational Lending Right (ELR):</w:t>
      </w:r>
    </w:p>
    <w:p w14:paraId="675943AB" w14:textId="495DB9B3" w:rsidR="00C022F9" w:rsidRDefault="00C022F9" w:rsidP="00C022F9">
      <w:pPr>
        <w:pStyle w:val="ListParagraph"/>
        <w:numPr>
          <w:ilvl w:val="0"/>
          <w:numId w:val="37"/>
        </w:numPr>
        <w:suppressAutoHyphens w:val="0"/>
        <w:spacing w:before="0" w:after="160" w:line="278" w:lineRule="auto"/>
      </w:pPr>
      <w:r w:rsidRPr="001F4276">
        <w:t>book scores are estimated based on a survey of school, university and TAFE library data</w:t>
      </w:r>
      <w:r>
        <w:t>.</w:t>
      </w:r>
    </w:p>
    <w:p w14:paraId="30C36261" w14:textId="631B5C3A" w:rsidR="00C022F9" w:rsidRDefault="00C022F9" w:rsidP="00C022F9">
      <w:pPr>
        <w:pStyle w:val="Heading2"/>
      </w:pPr>
      <w:r>
        <w:t>Annual payments</w:t>
      </w:r>
    </w:p>
    <w:p w14:paraId="4CFFCDA4" w14:textId="54CABC79" w:rsidR="00C022F9" w:rsidRDefault="00C022F9" w:rsidP="00DC0146">
      <w:pPr>
        <w:pStyle w:val="Heading3"/>
      </w:pPr>
      <w:r>
        <w:t>Annual payment calculation</w:t>
      </w:r>
    </w:p>
    <w:p w14:paraId="138E2470" w14:textId="4981B12F" w:rsidR="00C022F9" w:rsidRDefault="00C022F9" w:rsidP="00C022F9">
      <w:pPr>
        <w:suppressAutoHyphens w:val="0"/>
        <w:spacing w:before="0" w:after="160" w:line="278" w:lineRule="auto"/>
      </w:pPr>
      <w:r>
        <w:t xml:space="preserve">PLR </w:t>
      </w:r>
      <w:r w:rsidR="00DC0146">
        <w:t>P</w:t>
      </w:r>
      <w:r>
        <w:t>ayment calculations:</w:t>
      </w:r>
    </w:p>
    <w:p w14:paraId="7395C439" w14:textId="5395BC10" w:rsidR="00DC0146" w:rsidRDefault="00DC0146" w:rsidP="00DC0146">
      <w:pPr>
        <w:pStyle w:val="ListParagraph"/>
        <w:numPr>
          <w:ilvl w:val="0"/>
          <w:numId w:val="37"/>
        </w:numPr>
        <w:suppressAutoHyphens w:val="0"/>
        <w:spacing w:before="0" w:after="160" w:line="278" w:lineRule="auto"/>
      </w:pPr>
      <w:r w:rsidRPr="001F4276">
        <w:t>pay amounts are calculated based on estimated book scores from the public library survey</w:t>
      </w:r>
    </w:p>
    <w:p w14:paraId="5F5A4D28" w14:textId="4C0B1C10" w:rsidR="00DC0146" w:rsidRDefault="00DC0146" w:rsidP="00DC0146">
      <w:pPr>
        <w:suppressAutoHyphens w:val="0"/>
        <w:spacing w:before="0" w:after="160" w:line="278" w:lineRule="auto"/>
      </w:pPr>
      <w:r>
        <w:t>ELR Payment calculations:</w:t>
      </w:r>
    </w:p>
    <w:p w14:paraId="00C7A7D3" w14:textId="7D0162D0" w:rsidR="00DC0146" w:rsidRDefault="00DC0146" w:rsidP="00DC0146">
      <w:pPr>
        <w:pStyle w:val="ListParagraph"/>
        <w:numPr>
          <w:ilvl w:val="0"/>
          <w:numId w:val="37"/>
        </w:numPr>
        <w:suppressAutoHyphens w:val="0"/>
        <w:spacing w:before="0" w:after="160" w:line="278" w:lineRule="auto"/>
      </w:pPr>
      <w:r w:rsidRPr="001F4276">
        <w:t>pay amounts are calculated based on estimated book scores from the educational library survey</w:t>
      </w:r>
    </w:p>
    <w:p w14:paraId="4879DAC3" w14:textId="3A209273" w:rsidR="00DC0146" w:rsidRDefault="00DC0146" w:rsidP="00DC0146">
      <w:pPr>
        <w:pStyle w:val="Heading3"/>
      </w:pPr>
      <w:r>
        <w:t>Annual notification and payment</w:t>
      </w:r>
    </w:p>
    <w:p w14:paraId="3775F2AA" w14:textId="77777777" w:rsidR="00DC0146" w:rsidRDefault="00DC0146" w:rsidP="00DC0146">
      <w:pPr>
        <w:pStyle w:val="ListParagraph"/>
        <w:numPr>
          <w:ilvl w:val="0"/>
          <w:numId w:val="38"/>
        </w:numPr>
        <w:suppressAutoHyphens w:val="0"/>
        <w:spacing w:before="0" w:after="160" w:line="278" w:lineRule="auto"/>
      </w:pPr>
      <w:r w:rsidRPr="001F4276">
        <w:t xml:space="preserve">Claimants are notified by post or email in May each year to advise of book scores and if a payment is due </w:t>
      </w:r>
    </w:p>
    <w:p w14:paraId="09CEDF19" w14:textId="42EB4730" w:rsidR="00DC0146" w:rsidRDefault="00DC0146" w:rsidP="00DC0146">
      <w:pPr>
        <w:pStyle w:val="ListParagraph"/>
        <w:numPr>
          <w:ilvl w:val="0"/>
          <w:numId w:val="38"/>
        </w:numPr>
        <w:suppressAutoHyphens w:val="0"/>
        <w:spacing w:before="0" w:after="160" w:line="278" w:lineRule="auto"/>
      </w:pPr>
      <w:r w:rsidRPr="001F4276">
        <w:t>PLR and ELR payments are deposited into the nominated bank account by 30 June each year</w:t>
      </w:r>
      <w:r>
        <w:t>.</w:t>
      </w:r>
    </w:p>
    <w:p w14:paraId="23114D55" w14:textId="1106787A" w:rsidR="00C022F9" w:rsidRDefault="00DC0146" w:rsidP="00DC0146">
      <w:pPr>
        <w:pStyle w:val="Heading2"/>
      </w:pPr>
      <w:r>
        <w:lastRenderedPageBreak/>
        <w:t>Contact us</w:t>
      </w:r>
    </w:p>
    <w:p w14:paraId="4134256D" w14:textId="77777777" w:rsidR="00DC0146" w:rsidRPr="00DC0146" w:rsidRDefault="00DC0146" w:rsidP="00DC0146">
      <w:pPr>
        <w:keepNext/>
        <w:keepLines/>
      </w:pPr>
      <w:r w:rsidRPr="00DC0146">
        <w:t xml:space="preserve">Lending Rights Office, Department of Infrastructure, Transport, Regional Development, Communications, Sport and the Arts </w:t>
      </w:r>
    </w:p>
    <w:p w14:paraId="088C8C6F" w14:textId="77777777" w:rsidR="00DC0146" w:rsidRPr="001F4276" w:rsidRDefault="00DC0146" w:rsidP="00DC0146">
      <w:pPr>
        <w:keepNext/>
        <w:keepLines/>
      </w:pPr>
      <w:r w:rsidRPr="000A279F">
        <w:rPr>
          <w:b/>
          <w:bCs/>
        </w:rPr>
        <w:t>Phone</w:t>
      </w:r>
      <w:r w:rsidRPr="001F4276">
        <w:t>: 1800 672 842 (during office hours)</w:t>
      </w:r>
    </w:p>
    <w:p w14:paraId="12F43CE4" w14:textId="77777777" w:rsidR="00DC0146" w:rsidRPr="001F4276" w:rsidRDefault="00DC0146" w:rsidP="00DC0146">
      <w:pPr>
        <w:keepNext/>
        <w:keepLines/>
      </w:pPr>
      <w:r w:rsidRPr="000A279F">
        <w:rPr>
          <w:b/>
          <w:bCs/>
        </w:rPr>
        <w:t>Email</w:t>
      </w:r>
      <w:r w:rsidRPr="001F4276">
        <w:t xml:space="preserve">: </w:t>
      </w:r>
      <w:hyperlink r:id="rId15" w:history="1">
        <w:r w:rsidRPr="001F4276">
          <w:rPr>
            <w:rStyle w:val="Hyperlink"/>
          </w:rPr>
          <w:t>lendingrights@arts.gov.au</w:t>
        </w:r>
      </w:hyperlink>
      <w:r w:rsidRPr="001F4276">
        <w:t xml:space="preserve"> </w:t>
      </w:r>
    </w:p>
    <w:p w14:paraId="3ED0C401" w14:textId="492A0A93" w:rsidR="00DC0146" w:rsidRPr="001F4276" w:rsidRDefault="00DC0146" w:rsidP="00DC0146">
      <w:pPr>
        <w:keepNext/>
        <w:keepLines/>
      </w:pPr>
      <w:r w:rsidRPr="000A279F">
        <w:rPr>
          <w:b/>
          <w:bCs/>
        </w:rPr>
        <w:t>Web</w:t>
      </w:r>
      <w:r w:rsidRPr="001F4276">
        <w:t xml:space="preserve">: </w:t>
      </w:r>
      <w:hyperlink r:id="rId16" w:history="1">
        <w:r w:rsidRPr="001F4276">
          <w:rPr>
            <w:rStyle w:val="Hyperlink"/>
          </w:rPr>
          <w:t>arts.gov.au/</w:t>
        </w:r>
        <w:proofErr w:type="spellStart"/>
        <w:r w:rsidRPr="001F4276">
          <w:rPr>
            <w:rStyle w:val="Hyperlink"/>
          </w:rPr>
          <w:t>lendingrights</w:t>
        </w:r>
        <w:proofErr w:type="spellEnd"/>
      </w:hyperlink>
      <w:r w:rsidRPr="001F4276">
        <w:t xml:space="preserve"> </w:t>
      </w:r>
    </w:p>
    <w:p w14:paraId="3D603381" w14:textId="69FC37A6" w:rsidR="00DC0146" w:rsidRDefault="00DC0146" w:rsidP="00DC0146">
      <w:pPr>
        <w:keepNext/>
        <w:keepLines/>
        <w:suppressAutoHyphens w:val="0"/>
        <w:spacing w:before="0" w:after="160" w:line="278" w:lineRule="auto"/>
      </w:pPr>
      <w:r w:rsidRPr="000A279F">
        <w:rPr>
          <w:b/>
          <w:bCs/>
        </w:rPr>
        <w:t>Mail</w:t>
      </w:r>
      <w:r w:rsidRPr="001F4276">
        <w:t>: GPO Box 3241 Canberra ACT 2601</w:t>
      </w:r>
    </w:p>
    <w:bookmarkEnd w:id="0"/>
    <w:sectPr w:rsidR="00DC0146" w:rsidSect="00D2335F">
      <w:headerReference w:type="even" r:id="rId17"/>
      <w:footerReference w:type="even" r:id="rId18"/>
      <w:footerReference w:type="default" r:id="rId19"/>
      <w:headerReference w:type="first" r:id="rId20"/>
      <w:footerReference w:type="first" r:id="rId21"/>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2190" w14:textId="77777777" w:rsidR="00C022F9" w:rsidRDefault="00C022F9" w:rsidP="008456D5">
      <w:pPr>
        <w:spacing w:before="0" w:after="0"/>
      </w:pPr>
      <w:r>
        <w:separator/>
      </w:r>
    </w:p>
  </w:endnote>
  <w:endnote w:type="continuationSeparator" w:id="0">
    <w:p w14:paraId="07635A5C" w14:textId="77777777" w:rsidR="00C022F9" w:rsidRDefault="00C022F9"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E417" w14:textId="77777777" w:rsidR="00180B5B" w:rsidRDefault="00F165AB" w:rsidP="00180B5B">
    <w:pPr>
      <w:pStyle w:val="Footer"/>
      <w:spacing w:before="720"/>
      <w:jc w:val="right"/>
    </w:pPr>
    <w:r>
      <w:rPr>
        <w:noProof/>
        <w:lang w:eastAsia="en-AU"/>
      </w:rPr>
      <mc:AlternateContent>
        <mc:Choice Requires="wps">
          <w:drawing>
            <wp:anchor distT="0" distB="0" distL="0" distR="0" simplePos="0" relativeHeight="251662336" behindDoc="0" locked="0" layoutInCell="1" allowOverlap="1" wp14:anchorId="73C69637" wp14:editId="6D27AD2D">
              <wp:simplePos x="635" y="635"/>
              <wp:positionH relativeFrom="page">
                <wp:align>center</wp:align>
              </wp:positionH>
              <wp:positionV relativeFrom="page">
                <wp:align>bottom</wp:align>
              </wp:positionV>
              <wp:extent cx="643255" cy="509270"/>
              <wp:effectExtent l="0" t="0" r="4445" b="0"/>
              <wp:wrapNone/>
              <wp:docPr id="1677526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DE65112"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69637" id="_x0000_t202" coordsize="21600,21600" o:spt="202" path="m,l,21600r21600,l21600,xe">
              <v:stroke joinstyle="miter"/>
              <v:path gradientshapeok="t" o:connecttype="rect"/>
            </v:shapetype>
            <v:shape id="Text Box 5" o:spid="_x0000_s1027" type="#_x0000_t202" alt="OFFICIAL" style="position:absolute;left:0;text-align:left;margin-left:0;margin-top:0;width:50.65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0DE65112"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98927DB"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198927DB"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10B03FAB"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81BE" w14:textId="77777777" w:rsidR="00AB3238" w:rsidRDefault="00AB3238" w:rsidP="00AB3238">
    <w:pPr>
      <w:framePr w:w="11907" w:h="284" w:hSpace="181" w:wrap="around" w:vAnchor="page" w:hAnchor="page" w:yAlign="bottom"/>
      <w:spacing w:before="0" w:after="0"/>
    </w:pPr>
    <w:r>
      <w:rPr>
        <w:noProof/>
      </w:rPr>
      <w:drawing>
        <wp:inline distT="0" distB="0" distL="0" distR="0" wp14:anchorId="77AC9920" wp14:editId="337B5C08">
          <wp:extent cx="7562850" cy="179922"/>
          <wp:effectExtent l="0" t="0" r="0" b="0"/>
          <wp:docPr id="1505042563" name="Picture 1505042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C340C7F" w14:textId="1DE69966" w:rsidR="006851B3" w:rsidRPr="00654E6E" w:rsidRDefault="006D4B5E"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91299C">
          <w:rPr>
            <w:color w:val="auto"/>
            <w:sz w:val="18"/>
            <w:szCs w:val="18"/>
            <w:lang w:val="en-US"/>
          </w:rPr>
          <w:t>Australian Lending Rights—May 2026</w:t>
        </w:r>
      </w:sdtContent>
    </w:sdt>
    <w:r w:rsidR="006851B3" w:rsidRPr="00654E6E">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9D5"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1070320921" name="Picture 1070320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ECCA5D6" w14:textId="7FA7D2AE" w:rsidR="006851B3" w:rsidRPr="00654E6E" w:rsidRDefault="006D4B5E"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91299C">
          <w:rPr>
            <w:color w:val="auto"/>
            <w:sz w:val="18"/>
            <w:szCs w:val="18"/>
            <w:lang w:val="en-US"/>
          </w:rPr>
          <w:t>Australian Lending Rights—May 2026</w:t>
        </w:r>
      </w:sdtContent>
    </w:sdt>
    <w:r w:rsidR="006851B3" w:rsidRPr="00654E6E">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7DF6" w14:textId="77777777" w:rsidR="00C022F9" w:rsidRPr="00EF7FF3" w:rsidRDefault="00C022F9" w:rsidP="005912BE">
      <w:pPr>
        <w:spacing w:before="300"/>
        <w:rPr>
          <w:color w:val="081E3E" w:themeColor="text2"/>
        </w:rPr>
      </w:pPr>
      <w:r w:rsidRPr="00EF7FF3">
        <w:rPr>
          <w:color w:val="081E3E" w:themeColor="text2"/>
        </w:rPr>
        <w:t>----------</w:t>
      </w:r>
    </w:p>
  </w:footnote>
  <w:footnote w:type="continuationSeparator" w:id="0">
    <w:p w14:paraId="4CA75139" w14:textId="77777777" w:rsidR="00C022F9" w:rsidRDefault="00C022F9" w:rsidP="008456D5">
      <w:pPr>
        <w:spacing w:before="0" w:after="0"/>
      </w:pPr>
      <w:r>
        <w:continuationSeparator/>
      </w:r>
    </w:p>
  </w:footnote>
  <w:footnote w:type="continuationNotice" w:id="1">
    <w:p w14:paraId="467A1C0B" w14:textId="77777777" w:rsidR="00C022F9" w:rsidRDefault="00C022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FE40" w14:textId="441F0B65" w:rsidR="00180B5B" w:rsidRDefault="00F165AB" w:rsidP="00180B5B">
    <w:pPr>
      <w:pStyle w:val="Header"/>
      <w:spacing w:after="1320"/>
      <w:jc w:val="left"/>
    </w:pPr>
    <w:r>
      <w:rPr>
        <w:noProof/>
      </w:rPr>
      <mc:AlternateContent>
        <mc:Choice Requires="wps">
          <w:drawing>
            <wp:anchor distT="0" distB="0" distL="0" distR="0" simplePos="0" relativeHeight="251659264" behindDoc="0" locked="0" layoutInCell="1" allowOverlap="1" wp14:anchorId="5FA3B702" wp14:editId="2D0CA5E7">
              <wp:simplePos x="635" y="635"/>
              <wp:positionH relativeFrom="page">
                <wp:align>center</wp:align>
              </wp:positionH>
              <wp:positionV relativeFrom="page">
                <wp:align>top</wp:align>
              </wp:positionV>
              <wp:extent cx="643255" cy="509270"/>
              <wp:effectExtent l="0" t="0" r="4445" b="5080"/>
              <wp:wrapNone/>
              <wp:docPr id="556463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554CE30"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3B702" id="_x0000_t202" coordsize="21600,21600" o:spt="202" path="m,l,21600r21600,l21600,xe">
              <v:stroke joinstyle="miter"/>
              <v:path gradientshapeok="t" o:connecttype="rect"/>
            </v:shapetype>
            <v:shape id="Text Box 2" o:spid="_x0000_s1026" type="#_x0000_t202" alt="OFFICIAL" style="position:absolute;margin-left:0;margin-top:0;width:50.65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4554CE30"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fldSimple w:instr=" STYLEREF  &quot;Heading 1&quot; \l  \* MERGEFORMAT ">
      <w:r w:rsidR="00DC0146">
        <w:rPr>
          <w:noProof/>
        </w:rPr>
        <w:t>Document Control</w:t>
      </w:r>
    </w:fldSimple>
  </w:p>
  <w:p w14:paraId="22D4A795"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E00" w14:textId="0A9993A9" w:rsidR="00D2335F" w:rsidRDefault="00D2335F" w:rsidP="00D2335F">
    <w:pPr>
      <w:framePr w:w="11907" w:h="3062" w:wrap="around" w:vAnchor="page" w:hAnchor="page" w:x="12" w:yAlign="top" w:anchorLock="1"/>
      <w:spacing w:before="0" w:after="400"/>
    </w:pPr>
    <w:bookmarkStart w:id="2" w:name="_Hlk148680551"/>
    <w:bookmarkStart w:id="3" w:name="_Hlk168414111"/>
    <w:bookmarkStart w:id="4" w:name="_Hlk168414112"/>
  </w:p>
  <w:bookmarkEnd w:id="2"/>
  <w:bookmarkEnd w:id="3"/>
  <w:bookmarkEnd w:id="4"/>
  <w:p w14:paraId="3FC436F5" w14:textId="77777777" w:rsidR="00D2335F" w:rsidRPr="0069753D" w:rsidRDefault="00D2335F" w:rsidP="0091299C">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173A2ED6"/>
    <w:multiLevelType w:val="hybridMultilevel"/>
    <w:tmpl w:val="FE4C49B0"/>
    <w:lvl w:ilvl="0" w:tplc="E230E24A">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4434EF"/>
    <w:multiLevelType w:val="hybridMultilevel"/>
    <w:tmpl w:val="C340FF5A"/>
    <w:lvl w:ilvl="0" w:tplc="E230E2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6D014E"/>
    <w:multiLevelType w:val="hybridMultilevel"/>
    <w:tmpl w:val="87F07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7315D0"/>
    <w:multiLevelType w:val="hybridMultilevel"/>
    <w:tmpl w:val="DF3A6154"/>
    <w:lvl w:ilvl="0" w:tplc="E230E2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A51938"/>
    <w:multiLevelType w:val="multilevel"/>
    <w:tmpl w:val="298C34E4"/>
    <w:numStyleLink w:val="AppendixNumbers"/>
  </w:abstractNum>
  <w:abstractNum w:abstractNumId="18"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EF478B"/>
    <w:multiLevelType w:val="hybridMultilevel"/>
    <w:tmpl w:val="1AC8E420"/>
    <w:lvl w:ilvl="0" w:tplc="E230E24A">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515904ED"/>
    <w:multiLevelType w:val="hybridMultilevel"/>
    <w:tmpl w:val="6018EBA4"/>
    <w:lvl w:ilvl="0" w:tplc="E230E24A">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EF45B9"/>
    <w:multiLevelType w:val="hybridMultilevel"/>
    <w:tmpl w:val="06009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230796"/>
    <w:multiLevelType w:val="hybridMultilevel"/>
    <w:tmpl w:val="69DEFBF8"/>
    <w:lvl w:ilvl="0" w:tplc="E230E24A">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BB820AB"/>
    <w:multiLevelType w:val="hybridMultilevel"/>
    <w:tmpl w:val="1108E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50436246">
    <w:abstractNumId w:val="9"/>
  </w:num>
  <w:num w:numId="2" w16cid:durableId="2078165653">
    <w:abstractNumId w:val="7"/>
  </w:num>
  <w:num w:numId="3" w16cid:durableId="800878982">
    <w:abstractNumId w:val="6"/>
  </w:num>
  <w:num w:numId="4" w16cid:durableId="644822072">
    <w:abstractNumId w:val="5"/>
  </w:num>
  <w:num w:numId="5" w16cid:durableId="288897540">
    <w:abstractNumId w:val="4"/>
  </w:num>
  <w:num w:numId="6" w16cid:durableId="947926379">
    <w:abstractNumId w:val="8"/>
  </w:num>
  <w:num w:numId="7" w16cid:durableId="267391186">
    <w:abstractNumId w:val="3"/>
  </w:num>
  <w:num w:numId="8" w16cid:durableId="1993634140">
    <w:abstractNumId w:val="2"/>
  </w:num>
  <w:num w:numId="9" w16cid:durableId="1407266416">
    <w:abstractNumId w:val="1"/>
  </w:num>
  <w:num w:numId="10" w16cid:durableId="1380284240">
    <w:abstractNumId w:val="0"/>
  </w:num>
  <w:num w:numId="11" w16cid:durableId="2066877615">
    <w:abstractNumId w:val="20"/>
  </w:num>
  <w:num w:numId="12" w16cid:durableId="2042590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994709">
    <w:abstractNumId w:val="28"/>
  </w:num>
  <w:num w:numId="14" w16cid:durableId="9620824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099767">
    <w:abstractNumId w:val="10"/>
  </w:num>
  <w:num w:numId="16" w16cid:durableId="236942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84581">
    <w:abstractNumId w:val="18"/>
  </w:num>
  <w:num w:numId="18" w16cid:durableId="1760252099">
    <w:abstractNumId w:val="11"/>
  </w:num>
  <w:num w:numId="19" w16cid:durableId="1302153699">
    <w:abstractNumId w:val="16"/>
  </w:num>
  <w:num w:numId="20" w16cid:durableId="1238440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112062">
    <w:abstractNumId w:val="17"/>
  </w:num>
  <w:num w:numId="22" w16cid:durableId="1068919232">
    <w:abstractNumId w:val="24"/>
  </w:num>
  <w:num w:numId="23" w16cid:durableId="6528768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161918">
    <w:abstractNumId w:val="25"/>
  </w:num>
  <w:num w:numId="25" w16cid:durableId="1721705235">
    <w:abstractNumId w:val="25"/>
  </w:num>
  <w:num w:numId="26" w16cid:durableId="431438350">
    <w:abstractNumId w:val="25"/>
  </w:num>
  <w:num w:numId="27" w16cid:durableId="1056465425">
    <w:abstractNumId w:val="25"/>
  </w:num>
  <w:num w:numId="28" w16cid:durableId="1452671370">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9860211">
    <w:abstractNumId w:val="22"/>
  </w:num>
  <w:num w:numId="30" w16cid:durableId="1121650867">
    <w:abstractNumId w:val="13"/>
  </w:num>
  <w:num w:numId="31" w16cid:durableId="1427262002">
    <w:abstractNumId w:val="15"/>
  </w:num>
  <w:num w:numId="32" w16cid:durableId="1658264445">
    <w:abstractNumId w:val="19"/>
  </w:num>
  <w:num w:numId="33" w16cid:durableId="1711568923">
    <w:abstractNumId w:val="27"/>
  </w:num>
  <w:num w:numId="34" w16cid:durableId="2035812097">
    <w:abstractNumId w:val="26"/>
  </w:num>
  <w:num w:numId="35" w16cid:durableId="104933757">
    <w:abstractNumId w:val="21"/>
  </w:num>
  <w:num w:numId="36" w16cid:durableId="1877815412">
    <w:abstractNumId w:val="14"/>
  </w:num>
  <w:num w:numId="37" w16cid:durableId="1093431685">
    <w:abstractNumId w:val="23"/>
  </w:num>
  <w:num w:numId="38" w16cid:durableId="2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F9"/>
    <w:rsid w:val="0001430B"/>
    <w:rsid w:val="00024E97"/>
    <w:rsid w:val="000341E0"/>
    <w:rsid w:val="00060354"/>
    <w:rsid w:val="00062740"/>
    <w:rsid w:val="00067445"/>
    <w:rsid w:val="00072740"/>
    <w:rsid w:val="0009564F"/>
    <w:rsid w:val="000B08D1"/>
    <w:rsid w:val="000E24BA"/>
    <w:rsid w:val="000E5674"/>
    <w:rsid w:val="000E7E9F"/>
    <w:rsid w:val="0010321D"/>
    <w:rsid w:val="001109C3"/>
    <w:rsid w:val="001349C6"/>
    <w:rsid w:val="00140888"/>
    <w:rsid w:val="001606C9"/>
    <w:rsid w:val="001653B4"/>
    <w:rsid w:val="00180B5B"/>
    <w:rsid w:val="001D659E"/>
    <w:rsid w:val="001E1D59"/>
    <w:rsid w:val="00203702"/>
    <w:rsid w:val="002179CC"/>
    <w:rsid w:val="00222611"/>
    <w:rsid w:val="002229F7"/>
    <w:rsid w:val="00224BE3"/>
    <w:rsid w:val="002254D5"/>
    <w:rsid w:val="0022611D"/>
    <w:rsid w:val="00234E65"/>
    <w:rsid w:val="0026422D"/>
    <w:rsid w:val="00266955"/>
    <w:rsid w:val="002773D1"/>
    <w:rsid w:val="00284164"/>
    <w:rsid w:val="002959FB"/>
    <w:rsid w:val="002B3569"/>
    <w:rsid w:val="002B7197"/>
    <w:rsid w:val="002D233D"/>
    <w:rsid w:val="002E1ADA"/>
    <w:rsid w:val="002F7111"/>
    <w:rsid w:val="003720E9"/>
    <w:rsid w:val="00372DCC"/>
    <w:rsid w:val="0038444F"/>
    <w:rsid w:val="003C625A"/>
    <w:rsid w:val="003E16B6"/>
    <w:rsid w:val="003F1371"/>
    <w:rsid w:val="003F775D"/>
    <w:rsid w:val="00420F04"/>
    <w:rsid w:val="00427326"/>
    <w:rsid w:val="00430511"/>
    <w:rsid w:val="00436294"/>
    <w:rsid w:val="00450D0E"/>
    <w:rsid w:val="00454FED"/>
    <w:rsid w:val="00477E77"/>
    <w:rsid w:val="0048292A"/>
    <w:rsid w:val="00483596"/>
    <w:rsid w:val="0049153B"/>
    <w:rsid w:val="004A4EB9"/>
    <w:rsid w:val="004C3600"/>
    <w:rsid w:val="004E1EB0"/>
    <w:rsid w:val="004F77AA"/>
    <w:rsid w:val="00526674"/>
    <w:rsid w:val="00526CD7"/>
    <w:rsid w:val="00541213"/>
    <w:rsid w:val="00546218"/>
    <w:rsid w:val="005653A9"/>
    <w:rsid w:val="0057419C"/>
    <w:rsid w:val="00580E6C"/>
    <w:rsid w:val="00582A04"/>
    <w:rsid w:val="005912BE"/>
    <w:rsid w:val="005D50BC"/>
    <w:rsid w:val="005F794B"/>
    <w:rsid w:val="00611CC1"/>
    <w:rsid w:val="006335BA"/>
    <w:rsid w:val="006851B3"/>
    <w:rsid w:val="00686A7B"/>
    <w:rsid w:val="006A0F8A"/>
    <w:rsid w:val="006A266A"/>
    <w:rsid w:val="006B1647"/>
    <w:rsid w:val="006D4B5E"/>
    <w:rsid w:val="006E1ECA"/>
    <w:rsid w:val="006E2A0E"/>
    <w:rsid w:val="006F42E5"/>
    <w:rsid w:val="007A05BE"/>
    <w:rsid w:val="007A0CD1"/>
    <w:rsid w:val="007D7CD4"/>
    <w:rsid w:val="007E40AE"/>
    <w:rsid w:val="0080482C"/>
    <w:rsid w:val="008067A1"/>
    <w:rsid w:val="00823E03"/>
    <w:rsid w:val="00833543"/>
    <w:rsid w:val="00835773"/>
    <w:rsid w:val="00840953"/>
    <w:rsid w:val="008456D5"/>
    <w:rsid w:val="0084634B"/>
    <w:rsid w:val="008500E4"/>
    <w:rsid w:val="00884E68"/>
    <w:rsid w:val="008A1887"/>
    <w:rsid w:val="008A3E38"/>
    <w:rsid w:val="008B3901"/>
    <w:rsid w:val="008B6A81"/>
    <w:rsid w:val="008E2A0D"/>
    <w:rsid w:val="008E5BFD"/>
    <w:rsid w:val="0091299C"/>
    <w:rsid w:val="00924CF8"/>
    <w:rsid w:val="00946BCD"/>
    <w:rsid w:val="00981F9A"/>
    <w:rsid w:val="009909EC"/>
    <w:rsid w:val="0099647D"/>
    <w:rsid w:val="00996B8C"/>
    <w:rsid w:val="009B00F2"/>
    <w:rsid w:val="009D6C76"/>
    <w:rsid w:val="009E7E52"/>
    <w:rsid w:val="00A070A2"/>
    <w:rsid w:val="00A103B6"/>
    <w:rsid w:val="00A146EE"/>
    <w:rsid w:val="00A55479"/>
    <w:rsid w:val="00A70111"/>
    <w:rsid w:val="00A84ADF"/>
    <w:rsid w:val="00A95970"/>
    <w:rsid w:val="00AB3238"/>
    <w:rsid w:val="00AC4537"/>
    <w:rsid w:val="00AD4EF7"/>
    <w:rsid w:val="00AD7703"/>
    <w:rsid w:val="00AE1A3E"/>
    <w:rsid w:val="00AE4F99"/>
    <w:rsid w:val="00B0484D"/>
    <w:rsid w:val="00B42AC2"/>
    <w:rsid w:val="00B666D4"/>
    <w:rsid w:val="00B800E2"/>
    <w:rsid w:val="00B9430D"/>
    <w:rsid w:val="00BB266D"/>
    <w:rsid w:val="00BB3AAC"/>
    <w:rsid w:val="00BB68A9"/>
    <w:rsid w:val="00BE198C"/>
    <w:rsid w:val="00BE3AD8"/>
    <w:rsid w:val="00BE5DEC"/>
    <w:rsid w:val="00BF19D6"/>
    <w:rsid w:val="00C022F9"/>
    <w:rsid w:val="00C0455C"/>
    <w:rsid w:val="00C10346"/>
    <w:rsid w:val="00C15F0D"/>
    <w:rsid w:val="00C21A00"/>
    <w:rsid w:val="00C27C02"/>
    <w:rsid w:val="00C5653D"/>
    <w:rsid w:val="00C57766"/>
    <w:rsid w:val="00C60146"/>
    <w:rsid w:val="00C76D5B"/>
    <w:rsid w:val="00CD233E"/>
    <w:rsid w:val="00CD6739"/>
    <w:rsid w:val="00CF6CFD"/>
    <w:rsid w:val="00CF763F"/>
    <w:rsid w:val="00CF78A5"/>
    <w:rsid w:val="00D02062"/>
    <w:rsid w:val="00D23311"/>
    <w:rsid w:val="00D2335F"/>
    <w:rsid w:val="00D26896"/>
    <w:rsid w:val="00D3125C"/>
    <w:rsid w:val="00D56075"/>
    <w:rsid w:val="00D5655E"/>
    <w:rsid w:val="00D62C1B"/>
    <w:rsid w:val="00D67DEB"/>
    <w:rsid w:val="00D71E3A"/>
    <w:rsid w:val="00D93AEC"/>
    <w:rsid w:val="00D96BC0"/>
    <w:rsid w:val="00DA6576"/>
    <w:rsid w:val="00DC0146"/>
    <w:rsid w:val="00DD09C2"/>
    <w:rsid w:val="00DD73BD"/>
    <w:rsid w:val="00DE4362"/>
    <w:rsid w:val="00DE4FE2"/>
    <w:rsid w:val="00E00CD9"/>
    <w:rsid w:val="00E04908"/>
    <w:rsid w:val="00E16D1E"/>
    <w:rsid w:val="00E2218A"/>
    <w:rsid w:val="00E26A00"/>
    <w:rsid w:val="00E30EB4"/>
    <w:rsid w:val="00E51F03"/>
    <w:rsid w:val="00E5444D"/>
    <w:rsid w:val="00E55BB2"/>
    <w:rsid w:val="00E70F26"/>
    <w:rsid w:val="00E800D9"/>
    <w:rsid w:val="00E94FDD"/>
    <w:rsid w:val="00E95BA5"/>
    <w:rsid w:val="00EE2255"/>
    <w:rsid w:val="00EF7FF3"/>
    <w:rsid w:val="00F11869"/>
    <w:rsid w:val="00F1428D"/>
    <w:rsid w:val="00F165AB"/>
    <w:rsid w:val="00F472C5"/>
    <w:rsid w:val="00F526A2"/>
    <w:rsid w:val="00F67CDB"/>
    <w:rsid w:val="00FB5D36"/>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6EBB"/>
  <w15:chartTrackingRefBased/>
  <w15:docId w15:val="{48573B65-1EDF-4F16-8F05-A11810A4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ndingrights.art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ThHall\AppData\Local\Microsoft\Windows\INetCache\Content.Outlook\L615HLKI\arts.gov.au\lendingrigh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ndingrights@arts.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ndingrights.arts.gov.au/SignI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667960-4BDF-4423-9CB0-6F55EE6B127A}">
  <ds:schemaRefs>
    <ds:schemaRef ds:uri="http://schemas.openxmlformats.org/officeDocument/2006/bibliography"/>
  </ds:schemaRefs>
</ds:datastoreItem>
</file>

<file path=customXml/itemProps3.xml><?xml version="1.0" encoding="utf-8"?>
<ds:datastoreItem xmlns:ds="http://schemas.openxmlformats.org/officeDocument/2006/customXml" ds:itemID="{BF734073-C99B-40D0-8069-4F167C17FFB2}">
  <ds:schemaRefs>
    <ds:schemaRef ds:uri="http://schemas.microsoft.com/office/2006/metadata/properties"/>
    <ds:schemaRef ds:uri="http://www.w3.org/XML/1998/namespace"/>
    <ds:schemaRef ds:uri="http://schemas.microsoft.com/office/2006/documentManagement/types"/>
    <ds:schemaRef ds:uri="http://purl.org/dc/dcmitype/"/>
    <ds:schemaRef ds:uri="1f55c1b0-4536-4b56-92e3-f3188c9812f4"/>
    <ds:schemaRef ds:uri="http://purl.org/dc/elements/1.1/"/>
    <ds:schemaRef ds:uri="http://purl.org/dc/term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1821D3B-E0E4-44C1-AD70-03812F2C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E72961-E5FF-4F43-9532-FD7B95D4870F}">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3</TotalTime>
  <Pages>3</Pages>
  <Words>467</Words>
  <Characters>2821</Characters>
  <Application>Microsoft Office Word</Application>
  <DocSecurity>0</DocSecurity>
  <Lines>67</Lines>
  <Paragraphs>65</Paragraphs>
  <ScaleCrop>false</ScaleCrop>
  <HeadingPairs>
    <vt:vector size="2" baseType="variant">
      <vt:variant>
        <vt:lpstr>Title</vt:lpstr>
      </vt:variant>
      <vt:variant>
        <vt:i4>1</vt:i4>
      </vt:variant>
    </vt:vector>
  </HeadingPairs>
  <TitlesOfParts>
    <vt:vector size="1" baseType="lpstr">
      <vt:lpstr>Australian Lending Rights—May 2026</vt:lpstr>
    </vt:vector>
  </TitlesOfParts>
  <Company>Australian Government, Department of Infrastructure, Transport, Regional Development, Communications, Sport and the Arts</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Lending Rights—May 2026</dc:title>
  <dc:subject/>
  <dc:creator>Australian Government, Department of Infrastructure, Transport, Regional Development, Communications, Sport and the Arts</dc:creator>
  <cp:keywords/>
  <dc:description/>
  <cp:lastModifiedBy>Hall, Theresa</cp:lastModifiedBy>
  <cp:revision>3</cp:revision>
  <dcterms:created xsi:type="dcterms:W3CDTF">2026-05-04T04:57:00Z</dcterms:created>
  <dcterms:modified xsi:type="dcterms:W3CDTF">2026-05-04T04:59:00Z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0x010100BB9178BB23CE0D479AE3579596D187BC</vt:lpwstr>
  </property>
  <property fmtid="{D5CDD505-2E9C-101B-9397-08002B2CF9AE}" pid="3" name="ClassificationContentMarkingHeaderShapeIds">
    <vt:lpwstr>31c29b13,212af70f,6e137f8b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16b29e1e,63fd04e8,1e0b643e</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