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7237CF" w14:textId="07871BF3" w:rsidR="0094124E" w:rsidRDefault="00CD5C1E" w:rsidP="0094124E">
      <w:pPr>
        <w:ind w:left="-1418"/>
      </w:pPr>
      <w:r>
        <w:rPr>
          <w:noProof/>
        </w:rPr>
        <w:drawing>
          <wp:inline distT="0" distB="0" distL="0" distR="0" wp14:anchorId="0B2096A5" wp14:editId="00E7133E">
            <wp:extent cx="7645481" cy="1400175"/>
            <wp:effectExtent l="0" t="0" r="0" b="0"/>
            <wp:docPr id="11" name="Picture 11" descr="Shape, rectang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Shape, rectangle&#10;&#10;Description automatically generated"/>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7726221" cy="1414962"/>
                    </a:xfrm>
                    <a:prstGeom prst="rect">
                      <a:avLst/>
                    </a:prstGeom>
                    <a:noFill/>
                    <a:ln>
                      <a:noFill/>
                    </a:ln>
                  </pic:spPr>
                </pic:pic>
              </a:graphicData>
            </a:graphic>
          </wp:inline>
        </w:drawing>
      </w:r>
    </w:p>
    <w:p w14:paraId="2AD3B10E" w14:textId="77777777" w:rsidR="00FC16F3" w:rsidRDefault="00FC16F3" w:rsidP="0094124E">
      <w:pPr>
        <w:ind w:left="-1418"/>
        <w:sectPr w:rsidR="00FC16F3" w:rsidSect="00477982">
          <w:headerReference w:type="even" r:id="rId10"/>
          <w:headerReference w:type="default" r:id="rId11"/>
          <w:footerReference w:type="default" r:id="rId12"/>
          <w:footerReference w:type="first" r:id="rId13"/>
          <w:type w:val="continuous"/>
          <w:pgSz w:w="11906" w:h="16838"/>
          <w:pgMar w:top="0" w:right="1440" w:bottom="1440" w:left="1440" w:header="0" w:footer="0" w:gutter="0"/>
          <w:cols w:space="708"/>
          <w:titlePg/>
          <w:docGrid w:linePitch="360"/>
        </w:sectPr>
      </w:pPr>
    </w:p>
    <w:p w14:paraId="163C2A0C" w14:textId="48C33A22" w:rsidR="002117E6" w:rsidRDefault="001D64AC" w:rsidP="00477982">
      <w:pPr>
        <w:pStyle w:val="Heading1"/>
      </w:pPr>
      <w:r>
        <w:t xml:space="preserve">Cultural Funding by </w:t>
      </w:r>
      <w:r w:rsidRPr="00834920">
        <w:t>Government—</w:t>
      </w:r>
      <w:r w:rsidR="0070126E" w:rsidRPr="00834920">
        <w:t>202</w:t>
      </w:r>
      <w:r w:rsidR="00635E20">
        <w:t>3</w:t>
      </w:r>
      <w:r w:rsidR="0070126E" w:rsidRPr="00834920">
        <w:t>–2</w:t>
      </w:r>
      <w:r w:rsidR="00635E20">
        <w:t>4</w:t>
      </w:r>
    </w:p>
    <w:p w14:paraId="0EAAE901" w14:textId="77777777" w:rsidR="00CD73FD" w:rsidRDefault="00CD73FD" w:rsidP="00CD73FD">
      <w:pPr>
        <w:pStyle w:val="Heading2"/>
      </w:pPr>
      <w:r w:rsidRPr="00527D9C">
        <w:rPr>
          <w:szCs w:val="36"/>
        </w:rPr>
        <w:t>Australian Capital Territory Government</w:t>
      </w:r>
    </w:p>
    <w:p w14:paraId="3E903D40" w14:textId="5BACB4F7" w:rsidR="00790F76" w:rsidRPr="00834920" w:rsidRDefault="00CD73FD" w:rsidP="00CD73FD">
      <w:r w:rsidRPr="00834920">
        <w:t>The estimate of expenditure funded by the Australian Capital Territory (ACT) Government in 202</w:t>
      </w:r>
      <w:r w:rsidR="00FF4213">
        <w:t>3</w:t>
      </w:r>
      <w:r w:rsidRPr="00834920">
        <w:t>–2</w:t>
      </w:r>
      <w:r w:rsidR="00FF4213">
        <w:t>4</w:t>
      </w:r>
      <w:r w:rsidR="00364941" w:rsidRPr="00834920">
        <w:t xml:space="preserve"> </w:t>
      </w:r>
      <w:r w:rsidRPr="00834920">
        <w:t xml:space="preserve">for cultural </w:t>
      </w:r>
      <w:r w:rsidRPr="007C4DE3">
        <w:t xml:space="preserve">activities was </w:t>
      </w:r>
      <w:r w:rsidRPr="007C4DE3">
        <w:rPr>
          <w:b/>
        </w:rPr>
        <w:t>$</w:t>
      </w:r>
      <w:r w:rsidR="007C4DE3" w:rsidRPr="007C4DE3">
        <w:rPr>
          <w:b/>
        </w:rPr>
        <w:t>98</w:t>
      </w:r>
      <w:r w:rsidR="00364941" w:rsidRPr="007C4DE3">
        <w:rPr>
          <w:b/>
        </w:rPr>
        <w:t>.</w:t>
      </w:r>
      <w:r w:rsidR="007C4DE3" w:rsidRPr="007C4DE3">
        <w:rPr>
          <w:b/>
        </w:rPr>
        <w:t>5</w:t>
      </w:r>
      <w:r w:rsidR="00364941" w:rsidRPr="007C4DE3">
        <w:rPr>
          <w:b/>
        </w:rPr>
        <w:t>m</w:t>
      </w:r>
      <w:r w:rsidRPr="007C4DE3">
        <w:t>, representing a</w:t>
      </w:r>
      <w:r w:rsidR="00364941" w:rsidRPr="007C4DE3">
        <w:t>n inc</w:t>
      </w:r>
      <w:r w:rsidRPr="007C4DE3">
        <w:t xml:space="preserve">rease of </w:t>
      </w:r>
      <w:r w:rsidR="007C4DE3" w:rsidRPr="007C4DE3">
        <w:t>2</w:t>
      </w:r>
      <w:r w:rsidR="00421AF3" w:rsidRPr="007C4DE3">
        <w:t>0</w:t>
      </w:r>
      <w:r w:rsidRPr="007C4DE3">
        <w:t>% or $</w:t>
      </w:r>
      <w:r w:rsidR="007C4DE3" w:rsidRPr="007C4DE3">
        <w:t>16.4</w:t>
      </w:r>
      <w:r w:rsidRPr="007C4DE3">
        <w:t>m from</w:t>
      </w:r>
      <w:r w:rsidRPr="00834920">
        <w:t xml:space="preserve"> 20</w:t>
      </w:r>
      <w:r w:rsidR="00364941" w:rsidRPr="00834920">
        <w:t>2</w:t>
      </w:r>
      <w:r w:rsidR="00FF4213">
        <w:t>1</w:t>
      </w:r>
      <w:r w:rsidRPr="00834920">
        <w:t>–2</w:t>
      </w:r>
      <w:r w:rsidR="00FF4213">
        <w:t>2</w:t>
      </w:r>
      <w:r w:rsidRPr="00834920">
        <w:t xml:space="preserve">. </w:t>
      </w:r>
    </w:p>
    <w:p w14:paraId="6393C9A0" w14:textId="158F728A" w:rsidR="00CD73FD" w:rsidRPr="00834920" w:rsidRDefault="00CD73FD" w:rsidP="00CD73FD">
      <w:pPr>
        <w:pStyle w:val="Tablefigureheading"/>
      </w:pPr>
      <w:r>
        <w:t xml:space="preserve">Table 1. ACT Government cultural </w:t>
      </w:r>
      <w:r w:rsidRPr="00834920">
        <w:t>expenditure, 20</w:t>
      </w:r>
      <w:r w:rsidR="00FF4213">
        <w:t>20</w:t>
      </w:r>
      <w:r w:rsidR="00835593" w:rsidRPr="00834920">
        <w:t>–2</w:t>
      </w:r>
      <w:r w:rsidR="00FF4213">
        <w:t>1</w:t>
      </w:r>
      <w:r w:rsidRPr="00834920">
        <w:t xml:space="preserve"> to 202</w:t>
      </w:r>
      <w:r w:rsidR="00FF4213">
        <w:t>3</w:t>
      </w:r>
      <w:r w:rsidR="00835593" w:rsidRPr="00834920">
        <w:t>–2</w:t>
      </w:r>
      <w:r w:rsidR="00FF4213">
        <w:t>4</w:t>
      </w:r>
      <w:r w:rsidR="00D3576C">
        <w:rPr>
          <w:rStyle w:val="FootnoteReference"/>
        </w:rPr>
        <w:footnoteReference w:id="1"/>
      </w:r>
    </w:p>
    <w:tbl>
      <w:tblPr>
        <w:tblStyle w:val="TableGrid"/>
        <w:tblW w:w="0" w:type="auto"/>
        <w:tblBorders>
          <w:top w:val="none" w:sz="0" w:space="0" w:color="auto"/>
          <w:left w:val="none" w:sz="0" w:space="0" w:color="auto"/>
          <w:right w:val="none" w:sz="0" w:space="0" w:color="auto"/>
          <w:insideH w:val="none" w:sz="0" w:space="0" w:color="auto"/>
          <w:insideV w:val="none" w:sz="0" w:space="0" w:color="auto"/>
        </w:tblBorders>
        <w:tblCellMar>
          <w:top w:w="57" w:type="dxa"/>
          <w:bottom w:w="57" w:type="dxa"/>
        </w:tblCellMar>
        <w:tblLook w:val="04A0" w:firstRow="1" w:lastRow="0" w:firstColumn="1" w:lastColumn="0" w:noHBand="0" w:noVBand="1"/>
        <w:tblDescription w:val="Table 1—ACT Government cultural expenditure, 2015–16 to 2017–18."/>
      </w:tblPr>
      <w:tblGrid>
        <w:gridCol w:w="1276"/>
        <w:gridCol w:w="1985"/>
        <w:gridCol w:w="1984"/>
      </w:tblGrid>
      <w:tr w:rsidR="00CD73FD" w14:paraId="46355F73" w14:textId="77777777" w:rsidTr="005C0996">
        <w:trPr>
          <w:cantSplit/>
          <w:tblHeader/>
        </w:trPr>
        <w:tc>
          <w:tcPr>
            <w:tcW w:w="1276" w:type="dxa"/>
            <w:tcBorders>
              <w:top w:val="nil"/>
              <w:left w:val="nil"/>
              <w:bottom w:val="thickThinLargeGap" w:sz="24" w:space="0" w:color="auto"/>
              <w:right w:val="nil"/>
            </w:tcBorders>
            <w:shd w:val="clear" w:color="auto" w:fill="C3AFF7"/>
          </w:tcPr>
          <w:p w14:paraId="37AAE46E" w14:textId="5C4A0429" w:rsidR="00CD73FD" w:rsidRPr="0040581D" w:rsidRDefault="00FF4213" w:rsidP="00FB7DF7">
            <w:pPr>
              <w:pStyle w:val="Tablerowcolumnheading"/>
              <w:jc w:val="center"/>
            </w:pPr>
            <w:r w:rsidRPr="0040581D">
              <w:t>2020–21</w:t>
            </w:r>
            <w:r w:rsidRPr="0040581D">
              <w:rPr>
                <w:rStyle w:val="FootnoteReference"/>
              </w:rPr>
              <w:footnoteReference w:id="2"/>
            </w:r>
          </w:p>
        </w:tc>
        <w:tc>
          <w:tcPr>
            <w:tcW w:w="1985" w:type="dxa"/>
            <w:tcBorders>
              <w:top w:val="nil"/>
              <w:left w:val="nil"/>
              <w:bottom w:val="thickThinLargeGap" w:sz="24" w:space="0" w:color="auto"/>
              <w:right w:val="nil"/>
            </w:tcBorders>
            <w:shd w:val="clear" w:color="auto" w:fill="C3AFF7"/>
          </w:tcPr>
          <w:p w14:paraId="320A199E" w14:textId="6CD836D9" w:rsidR="00CD73FD" w:rsidRPr="0040581D" w:rsidRDefault="00FF4213" w:rsidP="00FB7DF7">
            <w:pPr>
              <w:pStyle w:val="Tablerowcolumnheadingcentred"/>
            </w:pPr>
            <w:r w:rsidRPr="0040581D">
              <w:t>2021–22</w:t>
            </w:r>
            <w:r w:rsidRPr="0040581D">
              <w:rPr>
                <w:rStyle w:val="FootnoteReference"/>
              </w:rPr>
              <w:footnoteReference w:id="3"/>
            </w:r>
          </w:p>
        </w:tc>
        <w:tc>
          <w:tcPr>
            <w:tcW w:w="1984" w:type="dxa"/>
            <w:tcBorders>
              <w:top w:val="nil"/>
              <w:left w:val="nil"/>
              <w:bottom w:val="thickThinLargeGap" w:sz="24" w:space="0" w:color="auto"/>
              <w:right w:val="nil"/>
            </w:tcBorders>
            <w:shd w:val="clear" w:color="auto" w:fill="C3AFF7"/>
          </w:tcPr>
          <w:p w14:paraId="48858B14" w14:textId="093EE634" w:rsidR="00CD73FD" w:rsidRPr="0040581D" w:rsidRDefault="00FF4213" w:rsidP="00FB7DF7">
            <w:pPr>
              <w:pStyle w:val="Tablerowcolumnheadingcentred"/>
            </w:pPr>
            <w:r>
              <w:t>2023</w:t>
            </w:r>
            <w:r w:rsidR="00173201" w:rsidRPr="00834920">
              <w:t>–</w:t>
            </w:r>
            <w:r>
              <w:t>24</w:t>
            </w:r>
          </w:p>
        </w:tc>
      </w:tr>
      <w:tr w:rsidR="00CD73FD" w14:paraId="0AC68BE8" w14:textId="77777777" w:rsidTr="005C0996">
        <w:trPr>
          <w:cantSplit/>
        </w:trPr>
        <w:tc>
          <w:tcPr>
            <w:tcW w:w="1276" w:type="dxa"/>
            <w:tcBorders>
              <w:top w:val="single" w:sz="4" w:space="0" w:color="auto"/>
              <w:left w:val="nil"/>
              <w:bottom w:val="single" w:sz="12" w:space="0" w:color="auto"/>
              <w:right w:val="nil"/>
            </w:tcBorders>
          </w:tcPr>
          <w:p w14:paraId="089B88CF" w14:textId="154C078D" w:rsidR="00CD73FD" w:rsidRPr="00834920" w:rsidRDefault="00FF4213" w:rsidP="00FB7DF7">
            <w:pPr>
              <w:pStyle w:val="Tabletext"/>
              <w:jc w:val="center"/>
            </w:pPr>
            <w:r w:rsidRPr="00834920">
              <w:t>$74.4m</w:t>
            </w:r>
          </w:p>
        </w:tc>
        <w:tc>
          <w:tcPr>
            <w:tcW w:w="1985" w:type="dxa"/>
            <w:tcBorders>
              <w:top w:val="single" w:sz="4" w:space="0" w:color="auto"/>
              <w:left w:val="nil"/>
              <w:bottom w:val="single" w:sz="12" w:space="0" w:color="auto"/>
              <w:right w:val="nil"/>
            </w:tcBorders>
          </w:tcPr>
          <w:p w14:paraId="51DC325B" w14:textId="23120DB6" w:rsidR="00CD73FD" w:rsidRPr="00834920" w:rsidRDefault="00FF4213" w:rsidP="00FB7DF7">
            <w:pPr>
              <w:pStyle w:val="Tabletextcentred"/>
            </w:pPr>
            <w:r w:rsidRPr="00834920">
              <w:t>$82.1m ↑10%</w:t>
            </w:r>
          </w:p>
        </w:tc>
        <w:tc>
          <w:tcPr>
            <w:tcW w:w="1984" w:type="dxa"/>
            <w:tcBorders>
              <w:top w:val="single" w:sz="4" w:space="0" w:color="auto"/>
              <w:left w:val="nil"/>
              <w:bottom w:val="single" w:sz="12" w:space="0" w:color="auto"/>
              <w:right w:val="nil"/>
            </w:tcBorders>
          </w:tcPr>
          <w:p w14:paraId="0784C001" w14:textId="74664715" w:rsidR="00CD73FD" w:rsidRPr="00834920" w:rsidRDefault="007C4DE3" w:rsidP="00FB7DF7">
            <w:pPr>
              <w:pStyle w:val="Tabletextcentred"/>
            </w:pPr>
            <w:r>
              <w:t xml:space="preserve">$98.5m </w:t>
            </w:r>
            <w:r w:rsidRPr="00834920">
              <w:t>↑</w:t>
            </w:r>
            <w:r>
              <w:t>2</w:t>
            </w:r>
            <w:r w:rsidRPr="00834920">
              <w:t>0%</w:t>
            </w:r>
          </w:p>
        </w:tc>
      </w:tr>
    </w:tbl>
    <w:p w14:paraId="7DF1F6D4" w14:textId="70A90537" w:rsidR="00CD73FD" w:rsidRPr="00834920" w:rsidRDefault="00CD73FD" w:rsidP="00CD73FD">
      <w:pPr>
        <w:pStyle w:val="ListParagraph"/>
        <w:numPr>
          <w:ilvl w:val="0"/>
          <w:numId w:val="6"/>
        </w:numPr>
        <w:spacing w:before="240"/>
        <w:ind w:left="567" w:hanging="567"/>
      </w:pPr>
      <w:r w:rsidRPr="00834920">
        <w:t xml:space="preserve">Recurrent expenses accounted for </w:t>
      </w:r>
      <w:r w:rsidR="007C4DE3">
        <w:t>87</w:t>
      </w:r>
      <w:r w:rsidR="00834920" w:rsidRPr="00834920">
        <w:t>%</w:t>
      </w:r>
      <w:r w:rsidRPr="00834920">
        <w:t xml:space="preserve"> ($</w:t>
      </w:r>
      <w:r w:rsidR="007C4DE3">
        <w:t>85.6</w:t>
      </w:r>
      <w:r w:rsidRPr="00834920">
        <w:t>m) of funded cultural expenditure.</w:t>
      </w:r>
    </w:p>
    <w:p w14:paraId="46972205" w14:textId="2F2F7756" w:rsidR="00CD73FD" w:rsidRPr="00834920" w:rsidRDefault="00CD73FD" w:rsidP="00CD73FD">
      <w:pPr>
        <w:pStyle w:val="ListParagraph"/>
        <w:numPr>
          <w:ilvl w:val="0"/>
          <w:numId w:val="6"/>
        </w:numPr>
        <w:ind w:left="567" w:hanging="567"/>
      </w:pPr>
      <w:r w:rsidRPr="00834920">
        <w:t>Capital expenditure was $</w:t>
      </w:r>
      <w:r w:rsidR="00A463A4">
        <w:t>12.9</w:t>
      </w:r>
      <w:r w:rsidRPr="00834920">
        <w:t>m, and the largest two categories were</w:t>
      </w:r>
      <w:r w:rsidRPr="00834920">
        <w:rPr>
          <w:i/>
        </w:rPr>
        <w:t xml:space="preserve"> </w:t>
      </w:r>
      <w:r w:rsidR="00A463A4" w:rsidRPr="00834920">
        <w:rPr>
          <w:i/>
        </w:rPr>
        <w:t>Other museums and cultural heritage</w:t>
      </w:r>
      <w:r w:rsidRPr="00834920">
        <w:t xml:space="preserve"> ($</w:t>
      </w:r>
      <w:r w:rsidR="00A463A4">
        <w:t>5.2</w:t>
      </w:r>
      <w:r w:rsidRPr="00834920">
        <w:t xml:space="preserve">m) and </w:t>
      </w:r>
      <w:r w:rsidR="00A463A4">
        <w:rPr>
          <w:i/>
        </w:rPr>
        <w:t>Libraries</w:t>
      </w:r>
      <w:r w:rsidR="00274DBD" w:rsidRPr="00834920">
        <w:rPr>
          <w:i/>
        </w:rPr>
        <w:t xml:space="preserve"> </w:t>
      </w:r>
      <w:r w:rsidRPr="00834920">
        <w:t>($</w:t>
      </w:r>
      <w:r w:rsidR="00A463A4">
        <w:t>2.4</w:t>
      </w:r>
      <w:r w:rsidRPr="00834920">
        <w:t>m).</w:t>
      </w:r>
    </w:p>
    <w:p w14:paraId="2F00EF29" w14:textId="5E1C4FA5" w:rsidR="00CD73FD" w:rsidRPr="00071A20" w:rsidRDefault="00CD73FD" w:rsidP="00274DBD">
      <w:pPr>
        <w:pStyle w:val="ListParagraph"/>
        <w:numPr>
          <w:ilvl w:val="0"/>
          <w:numId w:val="6"/>
        </w:numPr>
        <w:ind w:left="567" w:hanging="567"/>
      </w:pPr>
      <w:r w:rsidRPr="00071A20">
        <w:t xml:space="preserve">The estimate of per person funding </w:t>
      </w:r>
      <w:bookmarkStart w:id="0" w:name="_Hlk103861672"/>
      <w:r w:rsidRPr="00071A20">
        <w:t xml:space="preserve">was </w:t>
      </w:r>
      <w:r w:rsidRPr="00A356EE">
        <w:t>$</w:t>
      </w:r>
      <w:r w:rsidR="00071A20" w:rsidRPr="00A356EE">
        <w:t>209.62</w:t>
      </w:r>
      <w:r w:rsidRPr="00A356EE">
        <w:t>.</w:t>
      </w:r>
      <w:bookmarkEnd w:id="0"/>
    </w:p>
    <w:p w14:paraId="51E3CD76" w14:textId="516631CC" w:rsidR="00CD73FD" w:rsidRPr="00834920" w:rsidRDefault="00CD73FD" w:rsidP="00CD73FD">
      <w:r w:rsidRPr="00834920">
        <w:t xml:space="preserve">Funds </w:t>
      </w:r>
      <w:r w:rsidR="00042BC6" w:rsidRPr="00834920">
        <w:t>for Total</w:t>
      </w:r>
      <w:r w:rsidRPr="00834920">
        <w:t xml:space="preserve"> </w:t>
      </w:r>
      <w:r w:rsidRPr="003739DD">
        <w:rPr>
          <w:b/>
          <w:bCs/>
          <w:i/>
        </w:rPr>
        <w:t>Heritage</w:t>
      </w:r>
      <w:r w:rsidRPr="00834920">
        <w:t xml:space="preserve"> activities</w:t>
      </w:r>
      <w:r w:rsidR="00042BC6" w:rsidRPr="00834920">
        <w:t xml:space="preserve"> (recurrent and capital)</w:t>
      </w:r>
      <w:r w:rsidRPr="00834920">
        <w:t xml:space="preserve"> </w:t>
      </w:r>
      <w:r w:rsidR="00274DBD" w:rsidRPr="00834920">
        <w:t xml:space="preserve">rose by </w:t>
      </w:r>
      <w:r w:rsidR="00A463A4">
        <w:t>11</w:t>
      </w:r>
      <w:r w:rsidR="00274DBD" w:rsidRPr="00834920">
        <w:t xml:space="preserve">% </w:t>
      </w:r>
      <w:r w:rsidR="0059445E" w:rsidRPr="00834920">
        <w:t>(</w:t>
      </w:r>
      <w:r w:rsidR="00274DBD" w:rsidRPr="00834920">
        <w:t>or $</w:t>
      </w:r>
      <w:r w:rsidR="00A463A4">
        <w:t>4.8</w:t>
      </w:r>
      <w:r w:rsidR="00274DBD" w:rsidRPr="00834920">
        <w:t>m</w:t>
      </w:r>
      <w:r w:rsidR="0059445E" w:rsidRPr="00834920">
        <w:t xml:space="preserve">) </w:t>
      </w:r>
      <w:r w:rsidR="00274DBD" w:rsidRPr="00834920">
        <w:t>to</w:t>
      </w:r>
      <w:r w:rsidRPr="00834920">
        <w:t xml:space="preserve"> $</w:t>
      </w:r>
      <w:r w:rsidR="00274DBD" w:rsidRPr="00834920">
        <w:t>4</w:t>
      </w:r>
      <w:r w:rsidR="00A463A4">
        <w:t>7</w:t>
      </w:r>
      <w:r w:rsidR="00274DBD" w:rsidRPr="00834920">
        <w:t>.</w:t>
      </w:r>
      <w:r w:rsidR="00A463A4">
        <w:t>4</w:t>
      </w:r>
      <w:r w:rsidRPr="00834920">
        <w:t>m</w:t>
      </w:r>
      <w:r w:rsidR="0059445E" w:rsidRPr="00834920">
        <w:t>.</w:t>
      </w:r>
      <w:r w:rsidRPr="00834920">
        <w:t xml:space="preserve"> </w:t>
      </w:r>
    </w:p>
    <w:p w14:paraId="1ECD9B5D" w14:textId="77777777" w:rsidR="00F106D4" w:rsidRDefault="00CD73FD" w:rsidP="00CD73FD">
      <w:r w:rsidRPr="00834920">
        <w:t xml:space="preserve">The largest categories of </w:t>
      </w:r>
      <w:r w:rsidRPr="00834920">
        <w:rPr>
          <w:i/>
        </w:rPr>
        <w:t>Heritage</w:t>
      </w:r>
      <w:r w:rsidRPr="00834920">
        <w:t xml:space="preserve"> expenditure were </w:t>
      </w:r>
      <w:r w:rsidR="00421AF3" w:rsidRPr="00834920">
        <w:rPr>
          <w:i/>
        </w:rPr>
        <w:t>Other museums and cultural heritage</w:t>
      </w:r>
      <w:r w:rsidR="00421AF3" w:rsidRPr="00834920">
        <w:t xml:space="preserve"> </w:t>
      </w:r>
      <w:r w:rsidR="00274DBD" w:rsidRPr="00834920">
        <w:rPr>
          <w:iCs/>
        </w:rPr>
        <w:t>with $</w:t>
      </w:r>
      <w:r w:rsidR="00421AF3" w:rsidRPr="00834920">
        <w:rPr>
          <w:iCs/>
        </w:rPr>
        <w:t>20.</w:t>
      </w:r>
      <w:r w:rsidR="00092A36">
        <w:rPr>
          <w:iCs/>
        </w:rPr>
        <w:t>2</w:t>
      </w:r>
      <w:r w:rsidR="00274DBD" w:rsidRPr="00834920">
        <w:rPr>
          <w:iCs/>
        </w:rPr>
        <w:t xml:space="preserve">m </w:t>
      </w:r>
      <w:r w:rsidR="00D17C52">
        <w:rPr>
          <w:iCs/>
        </w:rPr>
        <w:t xml:space="preserve">and </w:t>
      </w:r>
      <w:r w:rsidR="00274DBD" w:rsidRPr="00834920">
        <w:rPr>
          <w:i/>
          <w:iCs/>
        </w:rPr>
        <w:t>Libraries</w:t>
      </w:r>
      <w:r w:rsidR="00274DBD" w:rsidRPr="00834920">
        <w:rPr>
          <w:rStyle w:val="FootnoteReference"/>
        </w:rPr>
        <w:footnoteReference w:id="4"/>
      </w:r>
      <w:r w:rsidR="00274DBD" w:rsidRPr="00834920">
        <w:t xml:space="preserve"> </w:t>
      </w:r>
      <w:r w:rsidRPr="00834920">
        <w:t>with $</w:t>
      </w:r>
      <w:r w:rsidR="00274DBD" w:rsidRPr="00834920">
        <w:t>17.</w:t>
      </w:r>
      <w:r w:rsidR="00092A36">
        <w:t>6</w:t>
      </w:r>
      <w:r w:rsidR="00274DBD" w:rsidRPr="00834920">
        <w:t>m</w:t>
      </w:r>
      <w:r w:rsidRPr="00834920">
        <w:t xml:space="preserve">. </w:t>
      </w:r>
    </w:p>
    <w:p w14:paraId="6D2271B7" w14:textId="5CEA78B5" w:rsidR="00CD73FD" w:rsidRPr="00834920" w:rsidRDefault="00575E22" w:rsidP="00CD73FD">
      <w:r>
        <w:t xml:space="preserve">Funds for </w:t>
      </w:r>
      <w:r w:rsidRPr="00575E22">
        <w:rPr>
          <w:i/>
          <w:iCs/>
        </w:rPr>
        <w:t>Archives</w:t>
      </w:r>
      <w:r>
        <w:t xml:space="preserve"> increased by </w:t>
      </w:r>
      <w:r w:rsidR="00D64DEB">
        <w:t>$4.1m</w:t>
      </w:r>
      <w:r>
        <w:t xml:space="preserve">. This is </w:t>
      </w:r>
      <w:r w:rsidRPr="00575E22">
        <w:t>due to the establishment of the Territory Records Office, which has enabled a valuation for archival storage in 2023</w:t>
      </w:r>
      <w:r w:rsidRPr="00834920">
        <w:t>–</w:t>
      </w:r>
      <w:r w:rsidRPr="00575E22">
        <w:t>24</w:t>
      </w:r>
      <w:r w:rsidR="00C949A6">
        <w:t>. This</w:t>
      </w:r>
      <w:r w:rsidRPr="00575E22">
        <w:t xml:space="preserve"> was not previously able to be separated from commercial operations.</w:t>
      </w:r>
    </w:p>
    <w:p w14:paraId="4D929C51" w14:textId="3A51B022" w:rsidR="00835593" w:rsidRPr="000978E5" w:rsidRDefault="00835593" w:rsidP="00835593">
      <w:pPr>
        <w:pStyle w:val="Tablefigureheading"/>
        <w:rPr>
          <w:b w:val="0"/>
          <w:bCs/>
          <w:color w:val="00B0F0"/>
        </w:rPr>
      </w:pPr>
      <w:bookmarkStart w:id="1" w:name="_Toc524533023"/>
      <w:r w:rsidRPr="00303AC1">
        <w:t xml:space="preserve">Figure 1. </w:t>
      </w:r>
      <w:r>
        <w:t>ACT</w:t>
      </w:r>
      <w:r w:rsidRPr="00303AC1">
        <w:t xml:space="preserve"> Government heritage expenditure</w:t>
      </w:r>
      <w:bookmarkEnd w:id="1"/>
      <w:r w:rsidR="00834920">
        <w:t xml:space="preserve"> (recurrent and capital)</w:t>
      </w:r>
    </w:p>
    <w:p w14:paraId="569356F5" w14:textId="3A2372C8" w:rsidR="00421AF3" w:rsidRPr="00421AF3" w:rsidRDefault="002C7F6D" w:rsidP="00421AF3">
      <w:pPr>
        <w:rPr>
          <w:lang w:eastAsia="en-US"/>
        </w:rPr>
      </w:pPr>
      <w:r>
        <w:rPr>
          <w:noProof/>
        </w:rPr>
        <w:drawing>
          <wp:inline distT="0" distB="0" distL="0" distR="0" wp14:anchorId="7CF73C1E" wp14:editId="51F45CFE">
            <wp:extent cx="5374640" cy="2487168"/>
            <wp:effectExtent l="0" t="0" r="0" b="8890"/>
            <wp:docPr id="177475618" name="Chart 1" descr="Figure 1. Australian Capital Territory Government heritage expenditure (recurrent and capital).&#10;A column graph compares expenditure across the heritage categories of Art museums, Other museums and cultural heritage, Libraries and Archives between the financial years of 2020-21, 2021-22 and 2023-24 for the Australian Capital Territory Government.&#10;2020-21: Art museums $5.5m, Other museums &amp; cultural heritage $8.1m, Libraries $21.4m, Archives $0.3m.&#10;2021-22: Art museums $4.9m, Other museums &amp; cultural heritage $20.4m, Libraries $17.0m, Archives $0.3m.&#10;2023-24: Art museums $5.2m, Other museums &amp; cultural heritage $20.2m, Libraries $17.6m, Archives $4.4m.&#10;">
              <a:extLst xmlns:a="http://schemas.openxmlformats.org/drawingml/2006/main">
                <a:ext uri="{FF2B5EF4-FFF2-40B4-BE49-F238E27FC236}">
                  <a16:creationId xmlns:a16="http://schemas.microsoft.com/office/drawing/2014/main" id="{79B5C7B4-C6E0-C474-6221-FC118DC7895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00E1877C" w14:textId="2EB55C62" w:rsidR="00274DBD" w:rsidRDefault="00CD73FD" w:rsidP="00CD73FD">
      <w:r w:rsidRPr="002454AC">
        <w:lastRenderedPageBreak/>
        <w:t>Funds for</w:t>
      </w:r>
      <w:r w:rsidR="00042BC6">
        <w:t xml:space="preserve"> Total</w:t>
      </w:r>
      <w:r w:rsidRPr="002454AC">
        <w:t xml:space="preserve"> </w:t>
      </w:r>
      <w:r w:rsidRPr="003739DD">
        <w:rPr>
          <w:b/>
          <w:bCs/>
          <w:i/>
        </w:rPr>
        <w:t>Arts</w:t>
      </w:r>
      <w:r w:rsidRPr="003739DD">
        <w:rPr>
          <w:b/>
          <w:bCs/>
        </w:rPr>
        <w:t xml:space="preserve"> </w:t>
      </w:r>
      <w:r w:rsidRPr="002454AC">
        <w:t>activities</w:t>
      </w:r>
      <w:r w:rsidR="00042BC6">
        <w:t xml:space="preserve"> (recurrent and capital)</w:t>
      </w:r>
      <w:r w:rsidRPr="002454AC">
        <w:t xml:space="preserve"> </w:t>
      </w:r>
      <w:r w:rsidR="00274DBD" w:rsidRPr="00834920">
        <w:t>increased by</w:t>
      </w:r>
      <w:r w:rsidRPr="00834920">
        <w:t xml:space="preserve"> </w:t>
      </w:r>
      <w:r w:rsidR="00092A36">
        <w:t>29</w:t>
      </w:r>
      <w:r w:rsidR="00834920" w:rsidRPr="00834920">
        <w:t>%</w:t>
      </w:r>
      <w:r w:rsidRPr="00834920">
        <w:t xml:space="preserve"> (or $1</w:t>
      </w:r>
      <w:r w:rsidR="00092A36">
        <w:t>1</w:t>
      </w:r>
      <w:r w:rsidR="00274DBD" w:rsidRPr="00834920">
        <w:t>.</w:t>
      </w:r>
      <w:r w:rsidR="00092A36">
        <w:t>6</w:t>
      </w:r>
      <w:r w:rsidRPr="00834920">
        <w:t>m) to $</w:t>
      </w:r>
      <w:r w:rsidR="00092A36">
        <w:t>51.1</w:t>
      </w:r>
      <w:r w:rsidR="00274DBD" w:rsidRPr="00834920">
        <w:t>m.</w:t>
      </w:r>
    </w:p>
    <w:p w14:paraId="7B533571" w14:textId="493BA6E8" w:rsidR="00274DBD" w:rsidRPr="00834920" w:rsidRDefault="00AD13E7" w:rsidP="00CD73FD">
      <w:r w:rsidRPr="00AD13E7">
        <w:rPr>
          <w:rFonts w:hint="eastAsia"/>
        </w:rPr>
        <w:t xml:space="preserve">This increase was largely attributable to increases in expenditure on </w:t>
      </w:r>
      <w:r w:rsidR="00092A36">
        <w:rPr>
          <w:i/>
          <w:iCs/>
        </w:rPr>
        <w:t>Community arts and cultural development</w:t>
      </w:r>
      <w:r w:rsidR="00274DBD" w:rsidRPr="00834920">
        <w:rPr>
          <w:i/>
          <w:iCs/>
        </w:rPr>
        <w:t xml:space="preserve"> </w:t>
      </w:r>
      <w:r w:rsidR="00274DBD" w:rsidRPr="00834920">
        <w:t>(↑$</w:t>
      </w:r>
      <w:r w:rsidR="00092A36">
        <w:t>4.4</w:t>
      </w:r>
      <w:r w:rsidR="00274DBD" w:rsidRPr="00834920">
        <w:t xml:space="preserve">m) and </w:t>
      </w:r>
      <w:r w:rsidR="00092A36">
        <w:rPr>
          <w:i/>
          <w:iCs/>
        </w:rPr>
        <w:t>Performing arts venues</w:t>
      </w:r>
      <w:r w:rsidR="00274DBD" w:rsidRPr="00834920">
        <w:rPr>
          <w:i/>
          <w:iCs/>
        </w:rPr>
        <w:t xml:space="preserve"> </w:t>
      </w:r>
      <w:r w:rsidR="00274DBD" w:rsidRPr="00834920">
        <w:t>(↑$</w:t>
      </w:r>
      <w:r w:rsidR="00092A36">
        <w:t>3.0</w:t>
      </w:r>
      <w:r w:rsidR="00274DBD" w:rsidRPr="00834920">
        <w:t>m).</w:t>
      </w:r>
      <w:bookmarkStart w:id="2" w:name="_GoBack"/>
      <w:bookmarkEnd w:id="2"/>
    </w:p>
    <w:p w14:paraId="7C33D75C" w14:textId="414D45A6" w:rsidR="00CD73FD" w:rsidRDefault="00CD73FD" w:rsidP="00CD73FD">
      <w:pPr>
        <w:pStyle w:val="Tablefigureheading"/>
      </w:pPr>
      <w:bookmarkStart w:id="3" w:name="_Toc524533024"/>
      <w:r w:rsidRPr="00303AC1">
        <w:t xml:space="preserve">Figure 2. </w:t>
      </w:r>
      <w:r>
        <w:t>ACT</w:t>
      </w:r>
      <w:r w:rsidRPr="00303AC1">
        <w:t xml:space="preserve"> Government arts expenditure</w:t>
      </w:r>
      <w:r w:rsidR="00834920">
        <w:t xml:space="preserve"> (recurrent and capital)</w:t>
      </w:r>
      <w:r w:rsidRPr="00303AC1">
        <w:t>, by selected categories</w:t>
      </w:r>
      <w:bookmarkEnd w:id="3"/>
    </w:p>
    <w:p w14:paraId="4D57A7B7" w14:textId="53DA9225" w:rsidR="0011174A" w:rsidRPr="0011174A" w:rsidRDefault="007D0383" w:rsidP="0011174A">
      <w:pPr>
        <w:rPr>
          <w:lang w:eastAsia="en-US"/>
        </w:rPr>
      </w:pPr>
      <w:r>
        <w:rPr>
          <w:noProof/>
        </w:rPr>
        <w:drawing>
          <wp:inline distT="0" distB="0" distL="0" distR="0" wp14:anchorId="032581DE" wp14:editId="74A3BC3E">
            <wp:extent cx="5847715" cy="2048256"/>
            <wp:effectExtent l="0" t="0" r="635" b="0"/>
            <wp:docPr id="961096018" name="Chart 1" descr="Figure 2. Australian Capital Territory Government arts expenditure (recurrent and capital), by selected categories.&#10;A column graph compares expenditure across the arts categories of Performing arts venues, Visual arts and crafts, Design, Community arts and cultural development, Multi-arts festivals and Arts administration between the financial years of 2020-21, 2021-22 and 2023-24 for the Australian Capital Territory Government.&#10;2020-21: Performing arts venues $17.0m, Visual arts &amp; crafts $3.0m, Design $0.8m, Community arts &amp; cultural development $2.4m, Multi-arts festivals $1.2m, Arts administration $2.5m.&#10;2021-22: Performing arts venues $17.4m, Visual arts &amp; crafts $3.4m, Design $0.4m, Community arts &amp; cultural development $2.1m, Multi-arts festivals $1.6m, Arts administration $1.8m.&#10;2023-24: Performing arts venues $20.4m, Visual arts &amp; crafts $3.2m, Design $2.5m, Community arts &amp; cultural development $6.5m, Multi-arts festivals $3.0m, Arts administration $3.2m.&#10;">
              <a:extLst xmlns:a="http://schemas.openxmlformats.org/drawingml/2006/main">
                <a:ext uri="{FF2B5EF4-FFF2-40B4-BE49-F238E27FC236}">
                  <a16:creationId xmlns:a16="http://schemas.microsoft.com/office/drawing/2014/main" id="{76A7D739-DA22-DC3B-3D78-236BF6194A9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21A03A63" w14:textId="2D6E5DDC" w:rsidR="00CD73FD" w:rsidRPr="00834920" w:rsidRDefault="00CD73FD" w:rsidP="00CD73FD">
      <w:r w:rsidRPr="00834920">
        <w:rPr>
          <w:i/>
        </w:rPr>
        <w:t>Performing arts venues</w:t>
      </w:r>
      <w:r w:rsidRPr="00834920">
        <w:t xml:space="preserve"> ($</w:t>
      </w:r>
      <w:r w:rsidR="0009353B">
        <w:t>20.4</w:t>
      </w:r>
      <w:r w:rsidRPr="00834920">
        <w:t>m)</w:t>
      </w:r>
      <w:r w:rsidR="00042BC6" w:rsidRPr="00834920">
        <w:t xml:space="preserve"> </w:t>
      </w:r>
      <w:r w:rsidRPr="00834920">
        <w:t xml:space="preserve">accounted for </w:t>
      </w:r>
      <w:r w:rsidR="0009353B">
        <w:t>the largest proportion</w:t>
      </w:r>
      <w:r w:rsidRPr="00834920">
        <w:t xml:space="preserve"> (4</w:t>
      </w:r>
      <w:r w:rsidR="0009353B">
        <w:t>0</w:t>
      </w:r>
      <w:r w:rsidRPr="00834920">
        <w:t xml:space="preserve">%) of total expenditure on </w:t>
      </w:r>
      <w:r w:rsidRPr="00834920">
        <w:rPr>
          <w:i/>
        </w:rPr>
        <w:t>Arts</w:t>
      </w:r>
      <w:r w:rsidRPr="00834920">
        <w:t xml:space="preserve"> activities. </w:t>
      </w:r>
    </w:p>
    <w:p w14:paraId="1AECB79E" w14:textId="77777777" w:rsidR="00CD73FD" w:rsidRPr="00834920" w:rsidRDefault="00CD73FD" w:rsidP="00CD73FD">
      <w:pPr>
        <w:spacing w:after="0"/>
      </w:pPr>
      <w:r w:rsidRPr="00834920">
        <w:t xml:space="preserve">Other main categories of </w:t>
      </w:r>
      <w:r w:rsidRPr="00834920">
        <w:rPr>
          <w:i/>
        </w:rPr>
        <w:t>Arts</w:t>
      </w:r>
      <w:r w:rsidRPr="00834920">
        <w:t xml:space="preserve"> activities funding were:</w:t>
      </w:r>
    </w:p>
    <w:p w14:paraId="511F3CC5" w14:textId="44AEB28E" w:rsidR="0009353B" w:rsidRPr="00834920" w:rsidRDefault="0009353B" w:rsidP="0009353B">
      <w:pPr>
        <w:pStyle w:val="ListParagraph"/>
        <w:numPr>
          <w:ilvl w:val="0"/>
          <w:numId w:val="4"/>
        </w:numPr>
        <w:ind w:left="567" w:hanging="567"/>
      </w:pPr>
      <w:r w:rsidRPr="00834920">
        <w:rPr>
          <w:i/>
        </w:rPr>
        <w:t>Community arts and cultural development</w:t>
      </w:r>
      <w:r w:rsidRPr="00834920">
        <w:t>—$</w:t>
      </w:r>
      <w:r>
        <w:t>6.5</w:t>
      </w:r>
      <w:r w:rsidRPr="00834920">
        <w:t>m</w:t>
      </w:r>
    </w:p>
    <w:p w14:paraId="58087E5F" w14:textId="1D965DBF" w:rsidR="00274DBD" w:rsidRPr="00834920" w:rsidRDefault="0009353B" w:rsidP="00274DBD">
      <w:pPr>
        <w:pStyle w:val="ListParagraph"/>
        <w:numPr>
          <w:ilvl w:val="0"/>
          <w:numId w:val="4"/>
        </w:numPr>
        <w:ind w:left="567" w:hanging="567"/>
      </w:pPr>
      <w:r>
        <w:rPr>
          <w:i/>
        </w:rPr>
        <w:t>Visual arts and crafts</w:t>
      </w:r>
      <w:r w:rsidR="00274DBD" w:rsidRPr="00834920">
        <w:t>—$</w:t>
      </w:r>
      <w:r>
        <w:t>3.2</w:t>
      </w:r>
      <w:r w:rsidR="00274DBD" w:rsidRPr="00834920">
        <w:t>m</w:t>
      </w:r>
    </w:p>
    <w:p w14:paraId="3A4EFC23" w14:textId="5DC384D0" w:rsidR="0082072A" w:rsidRPr="00834920" w:rsidRDefault="0009353B" w:rsidP="00274DBD">
      <w:pPr>
        <w:pStyle w:val="ListParagraph"/>
        <w:numPr>
          <w:ilvl w:val="0"/>
          <w:numId w:val="4"/>
        </w:numPr>
        <w:ind w:left="567" w:hanging="567"/>
      </w:pPr>
      <w:r>
        <w:rPr>
          <w:i/>
        </w:rPr>
        <w:t>Arts administration</w:t>
      </w:r>
      <w:r w:rsidR="0082072A" w:rsidRPr="00834920">
        <w:t>—$</w:t>
      </w:r>
      <w:r>
        <w:t>3.2</w:t>
      </w:r>
      <w:r w:rsidR="0082072A" w:rsidRPr="00834920">
        <w:t>m</w:t>
      </w:r>
    </w:p>
    <w:p w14:paraId="7875590B" w14:textId="472E3406" w:rsidR="00CD73FD" w:rsidRDefault="0009353B" w:rsidP="00CD73FD">
      <w:pPr>
        <w:pStyle w:val="ListParagraph"/>
        <w:numPr>
          <w:ilvl w:val="0"/>
          <w:numId w:val="4"/>
        </w:numPr>
        <w:ind w:left="567" w:hanging="567"/>
      </w:pPr>
      <w:r>
        <w:rPr>
          <w:i/>
        </w:rPr>
        <w:t>Multi-arts festivals</w:t>
      </w:r>
      <w:r w:rsidR="00CD73FD" w:rsidRPr="00834920">
        <w:t>—$</w:t>
      </w:r>
      <w:r>
        <w:t>3.0</w:t>
      </w:r>
      <w:r w:rsidR="00CD73FD" w:rsidRPr="00834920">
        <w:t>m</w:t>
      </w:r>
    </w:p>
    <w:p w14:paraId="42D4BBEF" w14:textId="0DCB0B48" w:rsidR="00F120A2" w:rsidRDefault="00F120A2" w:rsidP="00CD73FD">
      <w:pPr>
        <w:pStyle w:val="ListParagraph"/>
        <w:numPr>
          <w:ilvl w:val="0"/>
          <w:numId w:val="4"/>
        </w:numPr>
        <w:ind w:left="567" w:hanging="567"/>
      </w:pPr>
      <w:r>
        <w:rPr>
          <w:i/>
        </w:rPr>
        <w:t>Design</w:t>
      </w:r>
      <w:r w:rsidRPr="00834920">
        <w:t>—$</w:t>
      </w:r>
      <w:r>
        <w:t>2.5</w:t>
      </w:r>
      <w:r w:rsidRPr="00834920">
        <w:t>m</w:t>
      </w:r>
    </w:p>
    <w:p w14:paraId="3A8F1D84" w14:textId="671B67E8" w:rsidR="00CD73FD" w:rsidRPr="00834920" w:rsidRDefault="00CD73FD" w:rsidP="00CD73FD">
      <w:r w:rsidRPr="00834920">
        <w:t xml:space="preserve">Total </w:t>
      </w:r>
      <w:r w:rsidR="0057438F">
        <w:t xml:space="preserve">heritage and arts </w:t>
      </w:r>
      <w:r w:rsidRPr="003739DD">
        <w:rPr>
          <w:b/>
          <w:bCs/>
        </w:rPr>
        <w:t>recurrent</w:t>
      </w:r>
      <w:r w:rsidRPr="00834920">
        <w:t xml:space="preserve"> expenditure </w:t>
      </w:r>
      <w:r w:rsidR="00274DBD" w:rsidRPr="00834920">
        <w:t xml:space="preserve">increased by </w:t>
      </w:r>
      <w:r w:rsidRPr="00834920">
        <w:t>1</w:t>
      </w:r>
      <w:r w:rsidR="0009353B">
        <w:t>5</w:t>
      </w:r>
      <w:r w:rsidR="00AE124F" w:rsidRPr="00834920">
        <w:t>%</w:t>
      </w:r>
      <w:r w:rsidRPr="00834920">
        <w:t xml:space="preserve"> (or $</w:t>
      </w:r>
      <w:r w:rsidR="0009353B">
        <w:t>11.3</w:t>
      </w:r>
      <w:r w:rsidRPr="00834920">
        <w:t>m) to $</w:t>
      </w:r>
      <w:r w:rsidR="0009353B">
        <w:t>85.6</w:t>
      </w:r>
      <w:r w:rsidRPr="00834920">
        <w:t>m</w:t>
      </w:r>
      <w:r w:rsidR="00A2250B" w:rsidRPr="00834920">
        <w:t>.</w:t>
      </w:r>
    </w:p>
    <w:p w14:paraId="121D31A8" w14:textId="7239A3BA" w:rsidR="00CD73FD" w:rsidRPr="00834920" w:rsidRDefault="00CD73FD" w:rsidP="00CD73FD">
      <w:pPr>
        <w:tabs>
          <w:tab w:val="left" w:pos="6255"/>
        </w:tabs>
      </w:pPr>
      <w:r w:rsidRPr="00834920">
        <w:t xml:space="preserve">The largest recurrent expenditure was </w:t>
      </w:r>
      <w:r w:rsidR="003B02B0">
        <w:t xml:space="preserve">for </w:t>
      </w:r>
      <w:r w:rsidR="0009353B" w:rsidRPr="00834920">
        <w:rPr>
          <w:i/>
        </w:rPr>
        <w:t>Performing arts venues</w:t>
      </w:r>
      <w:r w:rsidR="0009353B" w:rsidRPr="00834920">
        <w:t xml:space="preserve"> ($1</w:t>
      </w:r>
      <w:r w:rsidR="0009353B">
        <w:t>9</w:t>
      </w:r>
      <w:r w:rsidR="0009353B" w:rsidRPr="00834920">
        <w:t>.</w:t>
      </w:r>
      <w:r w:rsidR="0009353B">
        <w:t>3</w:t>
      </w:r>
      <w:r w:rsidR="0009353B" w:rsidRPr="00834920">
        <w:t xml:space="preserve">m) followed by </w:t>
      </w:r>
      <w:r w:rsidR="0009353B" w:rsidRPr="00834920">
        <w:rPr>
          <w:i/>
        </w:rPr>
        <w:t>Libraries</w:t>
      </w:r>
      <w:r w:rsidR="0009353B" w:rsidRPr="00834920">
        <w:t xml:space="preserve"> ($1</w:t>
      </w:r>
      <w:r w:rsidR="0009353B">
        <w:t>5</w:t>
      </w:r>
      <w:r w:rsidR="0009353B" w:rsidRPr="00834920">
        <w:t>.</w:t>
      </w:r>
      <w:r w:rsidR="0009353B">
        <w:t>2</w:t>
      </w:r>
      <w:r w:rsidR="0009353B" w:rsidRPr="00834920">
        <w:t>m)</w:t>
      </w:r>
      <w:r w:rsidR="0009353B">
        <w:t xml:space="preserve"> and </w:t>
      </w:r>
      <w:r w:rsidR="00421AF3" w:rsidRPr="00834920">
        <w:rPr>
          <w:i/>
        </w:rPr>
        <w:t>Other museums and cultural heritage</w:t>
      </w:r>
      <w:r w:rsidR="0009353B">
        <w:rPr>
          <w:i/>
        </w:rPr>
        <w:t xml:space="preserve"> </w:t>
      </w:r>
      <w:r w:rsidR="0009353B" w:rsidRPr="0009353B">
        <w:rPr>
          <w:iCs/>
        </w:rPr>
        <w:t>(</w:t>
      </w:r>
      <w:r w:rsidRPr="0009353B">
        <w:rPr>
          <w:iCs/>
        </w:rPr>
        <w:t>$</w:t>
      </w:r>
      <w:r w:rsidR="00274DBD" w:rsidRPr="0009353B">
        <w:rPr>
          <w:iCs/>
        </w:rPr>
        <w:t>1</w:t>
      </w:r>
      <w:r w:rsidR="0009353B">
        <w:rPr>
          <w:iCs/>
        </w:rPr>
        <w:t>5</w:t>
      </w:r>
      <w:r w:rsidR="00274DBD" w:rsidRPr="0009353B">
        <w:rPr>
          <w:iCs/>
        </w:rPr>
        <w:t>.</w:t>
      </w:r>
      <w:r w:rsidR="0009353B">
        <w:rPr>
          <w:iCs/>
        </w:rPr>
        <w:t>0</w:t>
      </w:r>
      <w:r w:rsidRPr="0009353B">
        <w:rPr>
          <w:iCs/>
        </w:rPr>
        <w:t>m</w:t>
      </w:r>
      <w:r w:rsidR="0009353B" w:rsidRPr="0009353B">
        <w:rPr>
          <w:iCs/>
        </w:rPr>
        <w:t>)</w:t>
      </w:r>
      <w:r w:rsidR="0082072A" w:rsidRPr="00834920">
        <w:t>.</w:t>
      </w:r>
      <w:r w:rsidR="00E34525" w:rsidRPr="00834920">
        <w:t xml:space="preserve"> </w:t>
      </w:r>
    </w:p>
    <w:p w14:paraId="0506B2AE" w14:textId="12806948" w:rsidR="00CD73FD" w:rsidRPr="00AC705F" w:rsidRDefault="00CD73FD" w:rsidP="00CD73FD">
      <w:pPr>
        <w:pStyle w:val="Tablefigureheading"/>
        <w:rPr>
          <w:b w:val="0"/>
          <w:bCs/>
          <w:color w:val="00B0F0"/>
        </w:rPr>
      </w:pPr>
      <w:r w:rsidRPr="00303AC1">
        <w:t xml:space="preserve">Figure 3. </w:t>
      </w:r>
      <w:r>
        <w:t>ACT</w:t>
      </w:r>
      <w:r w:rsidRPr="00303AC1">
        <w:t xml:space="preserve"> Government recurrent cultural expenditure, by selected categories</w:t>
      </w:r>
    </w:p>
    <w:p w14:paraId="31D3809A" w14:textId="54518E61" w:rsidR="00E34525" w:rsidRDefault="00232EDA" w:rsidP="00CD73FD">
      <w:pPr>
        <w:rPr>
          <w:lang w:eastAsia="en-US"/>
        </w:rPr>
      </w:pPr>
      <w:r>
        <w:rPr>
          <w:noProof/>
        </w:rPr>
        <w:drawing>
          <wp:inline distT="0" distB="0" distL="0" distR="0" wp14:anchorId="57D00716" wp14:editId="05454619">
            <wp:extent cx="5926455" cy="3117850"/>
            <wp:effectExtent l="0" t="0" r="0" b="6350"/>
            <wp:docPr id="1780259945" name="Chart 1" descr="Figure 3. Australian Capital Territory Government recurrent cultural expenditure, by selected categories.&#10;A column graph compares expenditure across the heritage and arts categories of Art museums, Other museums and cultural heritage, Libraries, Archives, Visual arts and crafts, Performing arts venues, Community arts and cultural development, Multi-arts festivals and Arts administration between the financial years of 2020-21, 2021-22 and 2023-24 for the Australian Capital Territory Government.&#10;2020-21: Art museums $5.2m, Other museums &amp; cultural heritage $6.5m, Libraries $17.5m, Archives $0.3m, Performing arts venues $14.6m, Visual arts &amp; crafts $3.0m, Community arts &amp; cultural development $2.4m, Multi-arts festivals $1.2m, Arts administration $2.5m.&#10;2021-22: Art museums $4.6m, Other museums &amp; cultural heritage $19.9m, Libraries $14.8m, Archives $0.3m, Performing arts venues $16.0m, Visual arts &amp; crafts $3.3m, Community arts &amp; cultural development $2.1m, Multi-arts festivals $1.6m, Arts administration $1.8m.&#10;2023-24: Art museums $4.3m, Other museums &amp; cultural heritage $15.0m, Libraries $15.2m, Archives $4.4m, Performing arts venues $19.3m, Visual arts &amp; crafts $3.0m, Community arts &amp; cultural development $6.4m, Multi-arts festivals $3.0m, Arts administration $3.2m.">
              <a:extLst xmlns:a="http://schemas.openxmlformats.org/drawingml/2006/main">
                <a:ext uri="{FF2B5EF4-FFF2-40B4-BE49-F238E27FC236}">
                  <a16:creationId xmlns:a16="http://schemas.microsoft.com/office/drawing/2014/main" id="{7E0AFD09-848A-DE26-C782-EC15FF97AD9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sectPr w:rsidR="00E34525" w:rsidSect="00842CA0">
      <w:type w:val="continuous"/>
      <w:pgSz w:w="11906" w:h="16838"/>
      <w:pgMar w:top="1418" w:right="1133" w:bottom="1440" w:left="1440"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1E97DD8" w14:textId="77777777" w:rsidR="00B54081" w:rsidRDefault="00B54081" w:rsidP="002117E6">
      <w:pPr>
        <w:spacing w:after="0"/>
      </w:pPr>
      <w:r>
        <w:separator/>
      </w:r>
    </w:p>
  </w:endnote>
  <w:endnote w:type="continuationSeparator" w:id="0">
    <w:p w14:paraId="290CF2DD" w14:textId="77777777" w:rsidR="00B54081" w:rsidRDefault="00B54081" w:rsidP="002117E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Mangal">
    <w:altName w:val="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MingLiU">
    <w:altName w:val="細明體"/>
    <w:panose1 w:val="02010609000101010101"/>
    <w:charset w:val="88"/>
    <w:family w:val="modern"/>
    <w:pitch w:val="fixed"/>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35D076" w14:textId="6ED16682" w:rsidR="00FC0C98" w:rsidRPr="002454AC" w:rsidRDefault="00FC0C98" w:rsidP="00842CA0">
    <w:pPr>
      <w:pStyle w:val="Footer"/>
      <w:tabs>
        <w:tab w:val="clear" w:pos="9026"/>
        <w:tab w:val="right" w:pos="9333"/>
      </w:tabs>
      <w:rPr>
        <w:rStyle w:val="Hyperlink"/>
        <w:b w:val="0"/>
        <w:color w:val="auto"/>
        <w:sz w:val="18"/>
        <w:szCs w:val="18"/>
        <w:u w:val="none"/>
      </w:rPr>
    </w:pPr>
    <w:r w:rsidRPr="00CC4247">
      <w:rPr>
        <w:sz w:val="18"/>
        <w:szCs w:val="18"/>
      </w:rPr>
      <w:t>Cultural</w:t>
    </w:r>
    <w:r>
      <w:rPr>
        <w:sz w:val="18"/>
        <w:szCs w:val="18"/>
      </w:rPr>
      <w:t xml:space="preserve"> Funding by Government—20</w:t>
    </w:r>
    <w:r w:rsidR="006970A6">
      <w:rPr>
        <w:sz w:val="18"/>
        <w:szCs w:val="18"/>
      </w:rPr>
      <w:t>2</w:t>
    </w:r>
    <w:r w:rsidR="00092A36">
      <w:rPr>
        <w:sz w:val="18"/>
        <w:szCs w:val="18"/>
      </w:rPr>
      <w:t>3</w:t>
    </w:r>
    <w:r>
      <w:t>–</w:t>
    </w:r>
    <w:r>
      <w:rPr>
        <w:sz w:val="18"/>
        <w:szCs w:val="18"/>
      </w:rPr>
      <w:t>2</w:t>
    </w:r>
    <w:r w:rsidR="00092A36">
      <w:rPr>
        <w:sz w:val="18"/>
        <w:szCs w:val="18"/>
      </w:rPr>
      <w:t>4</w:t>
    </w:r>
    <w:r w:rsidRPr="00CC4247">
      <w:rPr>
        <w:sz w:val="18"/>
        <w:szCs w:val="18"/>
      </w:rPr>
      <w:t>—Australian Capital Territory Government</w:t>
    </w:r>
    <w:r w:rsidRPr="0037566A">
      <w:rPr>
        <w:sz w:val="18"/>
        <w:szCs w:val="18"/>
      </w:rPr>
      <w:tab/>
    </w:r>
    <w:sdt>
      <w:sdtPr>
        <w:rPr>
          <w:sz w:val="18"/>
          <w:szCs w:val="18"/>
        </w:rPr>
        <w:id w:val="-924028759"/>
        <w:docPartObj>
          <w:docPartGallery w:val="Page Numbers (Top of Page)"/>
          <w:docPartUnique/>
        </w:docPartObj>
      </w:sdtPr>
      <w:sdtEndPr/>
      <w:sdtContent>
        <w:r w:rsidRPr="0037566A">
          <w:rPr>
            <w:sz w:val="18"/>
            <w:szCs w:val="18"/>
          </w:rPr>
          <w:t xml:space="preserve">Page </w:t>
        </w:r>
        <w:r w:rsidRPr="0037566A">
          <w:rPr>
            <w:bCs/>
            <w:sz w:val="18"/>
            <w:szCs w:val="18"/>
          </w:rPr>
          <w:fldChar w:fldCharType="begin"/>
        </w:r>
        <w:r w:rsidRPr="0037566A">
          <w:rPr>
            <w:bCs/>
            <w:sz w:val="18"/>
            <w:szCs w:val="18"/>
          </w:rPr>
          <w:instrText xml:space="preserve"> PAGE </w:instrText>
        </w:r>
        <w:r w:rsidRPr="0037566A">
          <w:rPr>
            <w:bCs/>
            <w:sz w:val="18"/>
            <w:szCs w:val="18"/>
          </w:rPr>
          <w:fldChar w:fldCharType="separate"/>
        </w:r>
        <w:r w:rsidR="00F9394E">
          <w:rPr>
            <w:bCs/>
            <w:noProof/>
            <w:sz w:val="18"/>
            <w:szCs w:val="18"/>
          </w:rPr>
          <w:t>2</w:t>
        </w:r>
        <w:r w:rsidRPr="0037566A">
          <w:rPr>
            <w:bCs/>
            <w:sz w:val="18"/>
            <w:szCs w:val="18"/>
          </w:rPr>
          <w:fldChar w:fldCharType="end"/>
        </w:r>
        <w:r w:rsidRPr="0037566A">
          <w:rPr>
            <w:sz w:val="18"/>
            <w:szCs w:val="18"/>
          </w:rPr>
          <w:t xml:space="preserve"> of </w:t>
        </w:r>
        <w:r w:rsidRPr="0037566A">
          <w:rPr>
            <w:bCs/>
            <w:sz w:val="18"/>
            <w:szCs w:val="18"/>
          </w:rPr>
          <w:fldChar w:fldCharType="begin"/>
        </w:r>
        <w:r w:rsidRPr="0037566A">
          <w:rPr>
            <w:bCs/>
            <w:sz w:val="18"/>
            <w:szCs w:val="18"/>
          </w:rPr>
          <w:instrText xml:space="preserve"> NUMPAGES  </w:instrText>
        </w:r>
        <w:r w:rsidRPr="0037566A">
          <w:rPr>
            <w:bCs/>
            <w:sz w:val="18"/>
            <w:szCs w:val="18"/>
          </w:rPr>
          <w:fldChar w:fldCharType="separate"/>
        </w:r>
        <w:r w:rsidR="00F9394E">
          <w:rPr>
            <w:bCs/>
            <w:noProof/>
            <w:sz w:val="18"/>
            <w:szCs w:val="18"/>
          </w:rPr>
          <w:t>2</w:t>
        </w:r>
        <w:r w:rsidRPr="0037566A">
          <w:rPr>
            <w:bCs/>
            <w:sz w:val="18"/>
            <w:szCs w:val="18"/>
          </w:rPr>
          <w:fldChar w:fldCharType="end"/>
        </w:r>
      </w:sdtContent>
    </w:sdt>
  </w:p>
  <w:p w14:paraId="7A8AEEF8" w14:textId="77777777" w:rsidR="00FC0C98" w:rsidRDefault="00FC0C98" w:rsidP="00842CA0">
    <w:pPr>
      <w:spacing w:after="0"/>
      <w:ind w:left="-1418"/>
    </w:pPr>
    <w:r>
      <w:rPr>
        <w:noProof/>
        <w:lang w:eastAsia="en-AU"/>
      </w:rPr>
      <w:drawing>
        <wp:inline distT="0" distB="0" distL="0" distR="0" wp14:anchorId="22C413FE" wp14:editId="573FC905">
          <wp:extent cx="7560000" cy="358181"/>
          <wp:effectExtent l="0" t="0" r="3175" b="3810"/>
          <wp:docPr id="7" name="Picture 7" descr="Purple Border " title="Bor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1">
                    <a:extLst>
                      <a:ext uri="{28A0092B-C50C-407E-A947-70E740481C1C}">
                        <a14:useLocalDpi xmlns:a14="http://schemas.microsoft.com/office/drawing/2010/main" val="0"/>
                      </a:ext>
                    </a:extLst>
                  </a:blip>
                  <a:srcRect l="1935" t="-12324" r="1078" b="19102"/>
                  <a:stretch/>
                </pic:blipFill>
                <pic:spPr bwMode="auto">
                  <a:xfrm>
                    <a:off x="0" y="0"/>
                    <a:ext cx="7560000" cy="358181"/>
                  </a:xfrm>
                  <a:prstGeom prst="rect">
                    <a:avLst/>
                  </a:prstGeom>
                  <a:noFill/>
                  <a:ln>
                    <a:noFill/>
                  </a:ln>
                  <a:extLst>
                    <a:ext uri="{53640926-AAD7-44D8-BBD7-CCE9431645EC}">
                      <a14:shadowObscured xmlns:a14="http://schemas.microsoft.com/office/drawing/2010/main"/>
                    </a:ext>
                  </a:extLst>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38BC86" w14:textId="531CB409" w:rsidR="00E23218" w:rsidRPr="00CD5C1E" w:rsidRDefault="00CD5C1E" w:rsidP="00CD5C1E">
    <w:pPr>
      <w:pStyle w:val="Footer"/>
      <w:rPr>
        <w:i/>
        <w:iCs/>
        <w:sz w:val="18"/>
        <w:szCs w:val="18"/>
      </w:rPr>
    </w:pPr>
    <w:r w:rsidRPr="00CD5C1E">
      <w:rPr>
        <w:i/>
        <w:iCs/>
        <w:sz w:val="18"/>
        <w:szCs w:val="18"/>
      </w:rPr>
      <w:t xml:space="preserve">Source: Cultural Funding by Government </w:t>
    </w:r>
    <w:r>
      <w:rPr>
        <w:i/>
        <w:iCs/>
        <w:noProof/>
        <w:sz w:val="18"/>
        <w:szCs w:val="18"/>
        <w:lang w:eastAsia="en-AU"/>
      </w:rPr>
      <w:t>202</w:t>
    </w:r>
    <w:r w:rsidR="00092A36">
      <w:rPr>
        <w:i/>
        <w:iCs/>
        <w:noProof/>
        <w:sz w:val="18"/>
        <w:szCs w:val="18"/>
        <w:lang w:eastAsia="en-AU"/>
      </w:rPr>
      <w:t>3</w:t>
    </w:r>
    <w:r>
      <w:t>–</w:t>
    </w:r>
    <w:r>
      <w:rPr>
        <w:i/>
        <w:iCs/>
        <w:noProof/>
        <w:sz w:val="18"/>
        <w:szCs w:val="18"/>
        <w:lang w:eastAsia="en-AU"/>
      </w:rPr>
      <w:t>2</w:t>
    </w:r>
    <w:r w:rsidR="00092A36">
      <w:rPr>
        <w:i/>
        <w:iCs/>
        <w:noProof/>
        <w:sz w:val="18"/>
        <w:szCs w:val="18"/>
        <w:lang w:eastAsia="en-AU"/>
      </w:rPr>
      <w:t>4</w:t>
    </w:r>
    <w:r>
      <w:rPr>
        <w:noProof/>
        <w:sz w:val="18"/>
        <w:szCs w:val="18"/>
        <w:lang w:eastAsia="en-AU"/>
      </w:rPr>
      <w:t xml:space="preserve"> </w:t>
    </w:r>
    <w:r w:rsidRPr="00CD5C1E">
      <w:rPr>
        <w:i/>
        <w:iCs/>
        <w:sz w:val="18"/>
        <w:szCs w:val="18"/>
      </w:rPr>
      <w:t>survey</w:t>
    </w:r>
  </w:p>
  <w:p w14:paraId="471F2EF6" w14:textId="0E44F1C9" w:rsidR="00FC0C98" w:rsidRPr="00477982" w:rsidRDefault="00DD4ACA" w:rsidP="00477982">
    <w:pPr>
      <w:pStyle w:val="Footer"/>
      <w:ind w:left="-1418"/>
      <w:rPr>
        <w:rStyle w:val="Hyperlink"/>
        <w:color w:val="auto"/>
        <w:u w:val="none"/>
      </w:rPr>
    </w:pPr>
    <w:r>
      <w:rPr>
        <w:noProof/>
        <w:lang w:eastAsia="en-AU"/>
      </w:rPr>
      <w:drawing>
        <wp:inline distT="0" distB="0" distL="0" distR="0" wp14:anchorId="05FC6D49" wp14:editId="5F8C6415">
          <wp:extent cx="9511794" cy="334010"/>
          <wp:effectExtent l="0" t="0" r="0" b="8890"/>
          <wp:docPr id="5" name="Picture 5" descr="Purple Border " title="Bor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1">
                    <a:extLst>
                      <a:ext uri="{28A0092B-C50C-407E-A947-70E740481C1C}">
                        <a14:useLocalDpi xmlns:a14="http://schemas.microsoft.com/office/drawing/2010/main" val="0"/>
                      </a:ext>
                    </a:extLst>
                  </a:blip>
                  <a:srcRect l="1935" t="-12324" r="1078" b="19102"/>
                  <a:stretch/>
                </pic:blipFill>
                <pic:spPr bwMode="auto">
                  <a:xfrm>
                    <a:off x="0" y="0"/>
                    <a:ext cx="10076050" cy="353824"/>
                  </a:xfrm>
                  <a:prstGeom prst="rect">
                    <a:avLst/>
                  </a:prstGeom>
                  <a:noFill/>
                  <a:ln>
                    <a:noFill/>
                  </a:ln>
                  <a:extLst>
                    <a:ext uri="{53640926-AAD7-44D8-BBD7-CCE9431645EC}">
                      <a14:shadowObscured xmlns:a14="http://schemas.microsoft.com/office/drawing/2010/main"/>
                    </a:ext>
                  </a:extLst>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E80252" w14:textId="77777777" w:rsidR="00B54081" w:rsidRDefault="00B54081" w:rsidP="002117E6">
      <w:pPr>
        <w:spacing w:after="0"/>
      </w:pPr>
      <w:r>
        <w:separator/>
      </w:r>
    </w:p>
  </w:footnote>
  <w:footnote w:type="continuationSeparator" w:id="0">
    <w:p w14:paraId="0E558D11" w14:textId="77777777" w:rsidR="00B54081" w:rsidRDefault="00B54081" w:rsidP="002117E6">
      <w:pPr>
        <w:spacing w:after="0"/>
      </w:pPr>
      <w:r>
        <w:continuationSeparator/>
      </w:r>
    </w:p>
  </w:footnote>
  <w:footnote w:id="1">
    <w:p w14:paraId="3B29DD98" w14:textId="6FBF52F6" w:rsidR="00D3576C" w:rsidRPr="00D3576C" w:rsidRDefault="00D3576C">
      <w:pPr>
        <w:pStyle w:val="FootnoteText"/>
        <w:rPr>
          <w:sz w:val="17"/>
          <w:szCs w:val="17"/>
        </w:rPr>
      </w:pPr>
      <w:r w:rsidRPr="00D3576C">
        <w:rPr>
          <w:rStyle w:val="FootnoteReference"/>
          <w:sz w:val="17"/>
          <w:szCs w:val="17"/>
        </w:rPr>
        <w:footnoteRef/>
      </w:r>
      <w:r w:rsidRPr="00D3576C">
        <w:rPr>
          <w:sz w:val="17"/>
          <w:szCs w:val="17"/>
        </w:rPr>
        <w:t xml:space="preserve"> No survey was conducted for 2022</w:t>
      </w:r>
      <w:r w:rsidR="004908B6" w:rsidRPr="004908B6">
        <w:rPr>
          <w:sz w:val="17"/>
          <w:szCs w:val="17"/>
        </w:rPr>
        <w:t>–</w:t>
      </w:r>
      <w:r w:rsidRPr="00D3576C">
        <w:rPr>
          <w:sz w:val="17"/>
          <w:szCs w:val="17"/>
        </w:rPr>
        <w:t>23 due to the move to a biennial collection cycle.</w:t>
      </w:r>
    </w:p>
  </w:footnote>
  <w:footnote w:id="2">
    <w:p w14:paraId="1E8E72D0" w14:textId="70F235A9" w:rsidR="00FF4213" w:rsidRPr="00ED0ECD" w:rsidRDefault="00FF4213" w:rsidP="00FF4213">
      <w:pPr>
        <w:pStyle w:val="FootnoteText"/>
        <w:rPr>
          <w:sz w:val="17"/>
          <w:szCs w:val="17"/>
        </w:rPr>
      </w:pPr>
      <w:r w:rsidRPr="00ED0ECD">
        <w:rPr>
          <w:rStyle w:val="FootnoteReference"/>
          <w:sz w:val="17"/>
          <w:szCs w:val="17"/>
        </w:rPr>
        <w:footnoteRef/>
      </w:r>
      <w:r w:rsidRPr="00ED0ECD">
        <w:rPr>
          <w:sz w:val="17"/>
          <w:szCs w:val="17"/>
        </w:rPr>
        <w:t xml:space="preserve"> Includes $7.5m targeted cultural and creative sector COVID support funding, reported across categories and totals.</w:t>
      </w:r>
    </w:p>
  </w:footnote>
  <w:footnote w:id="3">
    <w:p w14:paraId="3DBD1BFE" w14:textId="77777777" w:rsidR="00FF4213" w:rsidRPr="00ED0ECD" w:rsidRDefault="00FF4213" w:rsidP="00FF4213">
      <w:pPr>
        <w:pStyle w:val="FootnoteText"/>
        <w:rPr>
          <w:sz w:val="17"/>
          <w:szCs w:val="17"/>
        </w:rPr>
      </w:pPr>
      <w:r w:rsidRPr="00ED0ECD">
        <w:rPr>
          <w:rStyle w:val="FootnoteReference"/>
          <w:sz w:val="17"/>
          <w:szCs w:val="17"/>
        </w:rPr>
        <w:footnoteRef/>
      </w:r>
      <w:r w:rsidRPr="00ED0ECD">
        <w:rPr>
          <w:sz w:val="17"/>
          <w:szCs w:val="17"/>
        </w:rPr>
        <w:t xml:space="preserve"> Includes $3.5m targeted cultural and creative sector COVID support funding, reported across categories and totals.</w:t>
      </w:r>
    </w:p>
  </w:footnote>
  <w:footnote w:id="4">
    <w:p w14:paraId="1A28662C" w14:textId="77777777" w:rsidR="00274DBD" w:rsidRDefault="00274DBD" w:rsidP="00274DBD">
      <w:pPr>
        <w:spacing w:after="0"/>
      </w:pPr>
      <w:r w:rsidRPr="00ED0ECD">
        <w:rPr>
          <w:rStyle w:val="FootnoteReference"/>
          <w:sz w:val="17"/>
          <w:szCs w:val="17"/>
        </w:rPr>
        <w:footnoteRef/>
      </w:r>
      <w:r w:rsidRPr="00ED0ECD">
        <w:rPr>
          <w:sz w:val="17"/>
          <w:szCs w:val="17"/>
        </w:rPr>
        <w:t xml:space="preserve"> Australian Capital Territory does not have a tier of local government with libraries funded by the ACT Government.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9FC88A" w14:textId="07DBADF4" w:rsidR="00835593" w:rsidRDefault="00835593">
    <w:pPr>
      <w:pStyle w:val="Header"/>
    </w:pPr>
    <w:r>
      <w:rPr>
        <w:noProof/>
      </w:rPr>
      <mc:AlternateContent>
        <mc:Choice Requires="wps">
          <w:drawing>
            <wp:anchor distT="0" distB="0" distL="0" distR="0" simplePos="0" relativeHeight="251659264" behindDoc="0" locked="0" layoutInCell="1" allowOverlap="1" wp14:anchorId="11AD0FB5" wp14:editId="42307A0B">
              <wp:simplePos x="635" y="635"/>
              <wp:positionH relativeFrom="column">
                <wp:align>center</wp:align>
              </wp:positionH>
              <wp:positionV relativeFrom="paragraph">
                <wp:posOffset>635</wp:posOffset>
              </wp:positionV>
              <wp:extent cx="443865" cy="443865"/>
              <wp:effectExtent l="0" t="0" r="18415" b="2540"/>
              <wp:wrapSquare wrapText="bothSides"/>
              <wp:docPr id="4" name="Text Box 4" descr="OFFICIAL">
                <a:extLst xmlns:a="http://schemas.openxmlformats.org/drawingml/2006/main">
                  <a:ext uri="{5AE41FA2-C0FF-4470-9BD4-5FADCA87CBE2}">
                    <aclsh:classification xmlns=""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6AC28E5" w14:textId="15A98F25" w:rsidR="00835593" w:rsidRPr="00835593" w:rsidRDefault="00835593">
                          <w:pPr>
                            <w:rPr>
                              <w:rFonts w:ascii="Arial" w:eastAsia="Arial" w:hAnsi="Arial" w:cs="Arial"/>
                              <w:noProof/>
                              <w:color w:val="A80000"/>
                              <w:sz w:val="24"/>
                              <w:szCs w:val="24"/>
                            </w:rPr>
                          </w:pPr>
                          <w:r w:rsidRPr="00835593">
                            <w:rPr>
                              <w:rFonts w:ascii="Arial" w:eastAsia="Arial" w:hAnsi="Arial" w:cs="Arial"/>
                              <w:noProof/>
                              <w:color w:val="A80000"/>
                              <w:sz w:val="24"/>
                              <w:szCs w:val="24"/>
                            </w:rPr>
                            <w:t>OFFICIAL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11AD0FB5" id="_x0000_t202" coordsize="21600,21600" o:spt="202" path="m,l,21600r21600,l21600,xe">
              <v:stroke joinstyle="miter"/>
              <v:path gradientshapeok="t" o:connecttype="rect"/>
            </v:shapetype>
            <v:shape id="Text Box 4" o:spid="_x0000_s1026" type="#_x0000_t202" alt="OFFICIAL" style="position:absolute;margin-left:0;margin-top:.05pt;width:34.95pt;height:34.95pt;z-index:251659264;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" filled="f" stroked="f">
              <v:textbox style="mso-fit-shape-to-text:t" inset="0,0,0,0">
                <w:txbxContent>
                  <w:p w14:paraId="06AC28E5" w14:textId="15A98F25" w:rsidR="00835593" w:rsidRPr="00835593" w:rsidRDefault="00835593">
                    <w:pPr>
                      <w:rPr>
                        <w:rFonts w:ascii="Arial" w:eastAsia="Arial" w:hAnsi="Arial" w:cs="Arial"/>
                        <w:noProof/>
                        <w:color w:val="A80000"/>
                        <w:sz w:val="24"/>
                        <w:szCs w:val="24"/>
                      </w:rPr>
                    </w:pPr>
                    <w:r w:rsidRPr="00835593">
                      <w:rPr>
                        <w:rFonts w:ascii="Arial" w:eastAsia="Arial" w:hAnsi="Arial" w:cs="Arial"/>
                        <w:noProof/>
                        <w:color w:val="A80000"/>
                        <w:sz w:val="24"/>
                        <w:szCs w:val="24"/>
                      </w:rPr>
                      <w:t>OFFICIAL</w:t>
                    </w:r>
                  </w:p>
                </w:txbxContent>
              </v:textbox>
              <w10:wrap type="squar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E8BF70" w14:textId="3A37ED89" w:rsidR="00FC0C98" w:rsidRDefault="00FC0C98" w:rsidP="00477982">
    <w:pPr>
      <w:pStyle w:val="Header"/>
      <w:ind w:left="-1418"/>
    </w:pPr>
    <w:r>
      <w:rPr>
        <w:noProof/>
        <w:lang w:eastAsia="en-AU"/>
      </w:rPr>
      <w:drawing>
        <wp:inline distT="0" distB="0" distL="0" distR="0" wp14:anchorId="33197DE3" wp14:editId="0EA07CEF">
          <wp:extent cx="7560000" cy="544479"/>
          <wp:effectExtent l="0" t="0" r="3175" b="8255"/>
          <wp:docPr id="6" name="Picture 6" descr="Purple Border" title="Bor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rotWithShape="1">
                  <a:blip r:embed="rId1">
                    <a:extLst>
                      <a:ext uri="{28A0092B-C50C-407E-A947-70E740481C1C}">
                        <a14:useLocalDpi xmlns:a14="http://schemas.microsoft.com/office/drawing/2010/main" val="0"/>
                      </a:ext>
                    </a:extLst>
                  </a:blip>
                  <a:srcRect l="1654" t="19214" r="1857"/>
                  <a:stretch/>
                </pic:blipFill>
                <pic:spPr bwMode="auto">
                  <a:xfrm>
                    <a:off x="0" y="0"/>
                    <a:ext cx="7560000" cy="544479"/>
                  </a:xfrm>
                  <a:prstGeom prst="rect">
                    <a:avLst/>
                  </a:prstGeom>
                  <a:noFill/>
                  <a:ln>
                    <a:noFill/>
                  </a:ln>
                  <a:extLst>
                    <a:ext uri="{53640926-AAD7-44D8-BBD7-CCE9431645EC}">
                      <a14:shadowObscured xmlns:a14="http://schemas.microsoft.com/office/drawing/2010/main"/>
                    </a:ext>
                  </a:extLst>
                </pic:spPr>
              </pic:pic>
            </a:graphicData>
          </a:graphic>
        </wp:inline>
      </w:drawing>
    </w:r>
  </w:p>
  <w:p w14:paraId="7D05254B" w14:textId="2CCC6FE0" w:rsidR="00FC0C98" w:rsidRDefault="00CD5C1E" w:rsidP="00A0554C">
    <w:pPr>
      <w:pStyle w:val="Header"/>
      <w:tabs>
        <w:tab w:val="clear" w:pos="9026"/>
        <w:tab w:val="right" w:pos="9333"/>
      </w:tabs>
    </w:pPr>
    <w:r>
      <w:t xml:space="preserve">Cultural and Creative </w:t>
    </w:r>
    <w:r w:rsidR="0070126E" w:rsidRPr="00CD5C1E">
      <w:t>Statistics Working Group</w:t>
    </w:r>
    <w:r w:rsidR="00FC0C98" w:rsidRPr="00A96536">
      <w:tab/>
    </w:r>
    <w:r w:rsidR="00FC0C98" w:rsidRPr="00A96536">
      <w:tab/>
    </w:r>
    <w:r w:rsidR="00BF3D0F">
      <w:t>September</w:t>
    </w:r>
    <w:r w:rsidR="00FF4213">
      <w:t xml:space="preserve"> 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F12D9E"/>
    <w:multiLevelType w:val="hybridMultilevel"/>
    <w:tmpl w:val="7900756E"/>
    <w:lvl w:ilvl="0" w:tplc="0C09000B">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D937613"/>
    <w:multiLevelType w:val="hybridMultilevel"/>
    <w:tmpl w:val="2B48B512"/>
    <w:lvl w:ilvl="0" w:tplc="69AC7252">
      <w:start w:val="1"/>
      <w:numFmt w:val="decimal"/>
      <w:pStyle w:val="ListParagraph"/>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2" w15:restartNumberingAfterBreak="0">
    <w:nsid w:val="117C6A73"/>
    <w:multiLevelType w:val="hybridMultilevel"/>
    <w:tmpl w:val="528A0CE2"/>
    <w:lvl w:ilvl="0" w:tplc="0C09000B">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FAE015F"/>
    <w:multiLevelType w:val="hybridMultilevel"/>
    <w:tmpl w:val="04A44422"/>
    <w:lvl w:ilvl="0" w:tplc="0C090001">
      <w:start w:val="1"/>
      <w:numFmt w:val="bullet"/>
      <w:lvlText w:val=""/>
      <w:lvlJc w:val="left"/>
      <w:pPr>
        <w:ind w:left="765" w:hanging="360"/>
      </w:pPr>
      <w:rPr>
        <w:rFonts w:ascii="Symbol" w:hAnsi="Symbol" w:hint="default"/>
      </w:rPr>
    </w:lvl>
    <w:lvl w:ilvl="1" w:tplc="0C090003" w:tentative="1">
      <w:start w:val="1"/>
      <w:numFmt w:val="bullet"/>
      <w:lvlText w:val="o"/>
      <w:lvlJc w:val="left"/>
      <w:pPr>
        <w:ind w:left="1485" w:hanging="360"/>
      </w:pPr>
      <w:rPr>
        <w:rFonts w:ascii="Courier New" w:hAnsi="Courier New" w:cs="Courier New" w:hint="default"/>
      </w:rPr>
    </w:lvl>
    <w:lvl w:ilvl="2" w:tplc="0C090005" w:tentative="1">
      <w:start w:val="1"/>
      <w:numFmt w:val="bullet"/>
      <w:lvlText w:val=""/>
      <w:lvlJc w:val="left"/>
      <w:pPr>
        <w:ind w:left="2205" w:hanging="360"/>
      </w:pPr>
      <w:rPr>
        <w:rFonts w:ascii="Wingdings" w:hAnsi="Wingdings" w:hint="default"/>
      </w:rPr>
    </w:lvl>
    <w:lvl w:ilvl="3" w:tplc="0C090001" w:tentative="1">
      <w:start w:val="1"/>
      <w:numFmt w:val="bullet"/>
      <w:lvlText w:val=""/>
      <w:lvlJc w:val="left"/>
      <w:pPr>
        <w:ind w:left="2925" w:hanging="360"/>
      </w:pPr>
      <w:rPr>
        <w:rFonts w:ascii="Symbol" w:hAnsi="Symbol" w:hint="default"/>
      </w:rPr>
    </w:lvl>
    <w:lvl w:ilvl="4" w:tplc="0C090003" w:tentative="1">
      <w:start w:val="1"/>
      <w:numFmt w:val="bullet"/>
      <w:lvlText w:val="o"/>
      <w:lvlJc w:val="left"/>
      <w:pPr>
        <w:ind w:left="3645" w:hanging="360"/>
      </w:pPr>
      <w:rPr>
        <w:rFonts w:ascii="Courier New" w:hAnsi="Courier New" w:cs="Courier New" w:hint="default"/>
      </w:rPr>
    </w:lvl>
    <w:lvl w:ilvl="5" w:tplc="0C090005" w:tentative="1">
      <w:start w:val="1"/>
      <w:numFmt w:val="bullet"/>
      <w:lvlText w:val=""/>
      <w:lvlJc w:val="left"/>
      <w:pPr>
        <w:ind w:left="4365" w:hanging="360"/>
      </w:pPr>
      <w:rPr>
        <w:rFonts w:ascii="Wingdings" w:hAnsi="Wingdings" w:hint="default"/>
      </w:rPr>
    </w:lvl>
    <w:lvl w:ilvl="6" w:tplc="0C090001" w:tentative="1">
      <w:start w:val="1"/>
      <w:numFmt w:val="bullet"/>
      <w:lvlText w:val=""/>
      <w:lvlJc w:val="left"/>
      <w:pPr>
        <w:ind w:left="5085" w:hanging="360"/>
      </w:pPr>
      <w:rPr>
        <w:rFonts w:ascii="Symbol" w:hAnsi="Symbol" w:hint="default"/>
      </w:rPr>
    </w:lvl>
    <w:lvl w:ilvl="7" w:tplc="0C090003" w:tentative="1">
      <w:start w:val="1"/>
      <w:numFmt w:val="bullet"/>
      <w:lvlText w:val="o"/>
      <w:lvlJc w:val="left"/>
      <w:pPr>
        <w:ind w:left="5805" w:hanging="360"/>
      </w:pPr>
      <w:rPr>
        <w:rFonts w:ascii="Courier New" w:hAnsi="Courier New" w:cs="Courier New" w:hint="default"/>
      </w:rPr>
    </w:lvl>
    <w:lvl w:ilvl="8" w:tplc="0C090005" w:tentative="1">
      <w:start w:val="1"/>
      <w:numFmt w:val="bullet"/>
      <w:lvlText w:val=""/>
      <w:lvlJc w:val="left"/>
      <w:pPr>
        <w:ind w:left="6525" w:hanging="360"/>
      </w:pPr>
      <w:rPr>
        <w:rFonts w:ascii="Wingdings" w:hAnsi="Wingdings" w:hint="default"/>
      </w:rPr>
    </w:lvl>
  </w:abstractNum>
  <w:abstractNum w:abstractNumId="4" w15:restartNumberingAfterBreak="0">
    <w:nsid w:val="222F2D20"/>
    <w:multiLevelType w:val="hybridMultilevel"/>
    <w:tmpl w:val="1AC69F2C"/>
    <w:lvl w:ilvl="0" w:tplc="8DEAB1F2">
      <w:start w:val="1"/>
      <w:numFmt w:val="bullet"/>
      <w:pStyle w:val="Bulletlevel1"/>
      <w:lvlText w:val=""/>
      <w:lvlJc w:val="left"/>
      <w:pPr>
        <w:ind w:left="360" w:hanging="360"/>
      </w:pPr>
      <w:rPr>
        <w:rFonts w:ascii="Symbol" w:hAnsi="Symbol" w:cs="Calibri" w:hint="default"/>
        <w:bCs w:val="0"/>
        <w:iCs w:val="0"/>
        <w:caps w:val="0"/>
        <w:strike w:val="0"/>
        <w:dstrike w:val="0"/>
        <w:vanish w:val="0"/>
        <w:color w:val="0F293A"/>
        <w:sz w:val="22"/>
        <w:szCs w:val="22"/>
        <w:vertAlign w:val="baseline"/>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31F7139D"/>
    <w:multiLevelType w:val="hybridMultilevel"/>
    <w:tmpl w:val="5B38CF72"/>
    <w:lvl w:ilvl="0" w:tplc="0C09000B">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75B504F0"/>
    <w:multiLevelType w:val="hybridMultilevel"/>
    <w:tmpl w:val="AC4ED6F8"/>
    <w:lvl w:ilvl="0" w:tplc="91E8E848">
      <w:start w:val="1"/>
      <w:numFmt w:val="bullet"/>
      <w:pStyle w:val="Checkboxemptybulletpoint"/>
      <w:lvlText w:val=""/>
      <w:lvlJc w:val="left"/>
      <w:pPr>
        <w:ind w:left="360" w:hanging="360"/>
      </w:pPr>
      <w:rPr>
        <w:rFonts w:ascii="Wingdings" w:hAnsi="Wingdings" w:hint="default"/>
        <w:caps w:val="0"/>
        <w:strike w:val="0"/>
        <w:dstrike w:val="0"/>
        <w:vanish w:val="0"/>
        <w:webHidden w:val="0"/>
        <w:color w:val="0F293A"/>
        <w:sz w:val="22"/>
        <w:u w:val="none"/>
        <w:effect w:val="none"/>
        <w:vertAlign w:val="baseline"/>
        <w:specVanish w:val="0"/>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7" w15:restartNumberingAfterBreak="0">
    <w:nsid w:val="793E1F26"/>
    <w:multiLevelType w:val="hybridMultilevel"/>
    <w:tmpl w:val="1A685B1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4"/>
  </w:num>
  <w:num w:numId="2">
    <w:abstractNumId w:val="6"/>
  </w:num>
  <w:num w:numId="3">
    <w:abstractNumId w:val="1"/>
  </w:num>
  <w:num w:numId="4">
    <w:abstractNumId w:val="7"/>
  </w:num>
  <w:num w:numId="5">
    <w:abstractNumId w:val="2"/>
  </w:num>
  <w:num w:numId="6">
    <w:abstractNumId w:val="5"/>
  </w:num>
  <w:num w:numId="7">
    <w:abstractNumId w:val="0"/>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removePersonalInformation/>
  <w:removeDateAndTime/>
  <w:proofState w:spelling="clean" w:grammar="clean"/>
  <w:stylePaneFormatFilter w:val="3828" w:allStyles="0" w:customStyles="0" w:latentStyles="0" w:stylesInUse="1" w:headingStyles="1" w:numberingStyles="0" w:tableStyles="0" w:directFormattingOnRuns="0" w:directFormattingOnParagraphs="0" w:directFormattingOnNumbering="0" w:directFormattingOnTables="1" w:clearFormatting="1" w:top3HeadingStyles="1" w:visibleStyles="0" w:alternateStyleNames="0"/>
  <w:stylePaneSortMethod w:val="0000"/>
  <w:defaultTabStop w:val="720"/>
  <w:drawingGridHorizontalSpacing w:val="110"/>
  <w:displayHorizontalDrawingGridEvery w:val="2"/>
  <w:displayVerticalDrawingGridEvery w:val="2"/>
  <w:characterSpacingControl w:val="doNotCompress"/>
  <w:hdrShapeDefaults>
    <o:shapedefaults v:ext="edit" spidmax="16179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213E"/>
    <w:rsid w:val="000020F0"/>
    <w:rsid w:val="0001008D"/>
    <w:rsid w:val="00015A13"/>
    <w:rsid w:val="00024E6D"/>
    <w:rsid w:val="00024EAC"/>
    <w:rsid w:val="0004164F"/>
    <w:rsid w:val="00042BC6"/>
    <w:rsid w:val="00047FC0"/>
    <w:rsid w:val="0005112F"/>
    <w:rsid w:val="0005606E"/>
    <w:rsid w:val="00060994"/>
    <w:rsid w:val="00061699"/>
    <w:rsid w:val="00066DCE"/>
    <w:rsid w:val="00071A20"/>
    <w:rsid w:val="000736CD"/>
    <w:rsid w:val="00084129"/>
    <w:rsid w:val="00092A36"/>
    <w:rsid w:val="0009353B"/>
    <w:rsid w:val="000978E5"/>
    <w:rsid w:val="000B27A8"/>
    <w:rsid w:val="000C27B1"/>
    <w:rsid w:val="000C3E44"/>
    <w:rsid w:val="000E291B"/>
    <w:rsid w:val="0010228A"/>
    <w:rsid w:val="0010452B"/>
    <w:rsid w:val="0011174A"/>
    <w:rsid w:val="00111A64"/>
    <w:rsid w:val="00113D05"/>
    <w:rsid w:val="0011558D"/>
    <w:rsid w:val="00124616"/>
    <w:rsid w:val="0013149B"/>
    <w:rsid w:val="00133504"/>
    <w:rsid w:val="001471EA"/>
    <w:rsid w:val="001472FC"/>
    <w:rsid w:val="001658FE"/>
    <w:rsid w:val="001674E8"/>
    <w:rsid w:val="001715EF"/>
    <w:rsid w:val="00173201"/>
    <w:rsid w:val="001736CC"/>
    <w:rsid w:val="00185E9F"/>
    <w:rsid w:val="0019701B"/>
    <w:rsid w:val="001A5FAF"/>
    <w:rsid w:val="001C3B80"/>
    <w:rsid w:val="001C7827"/>
    <w:rsid w:val="001D1818"/>
    <w:rsid w:val="001D64AC"/>
    <w:rsid w:val="001D7905"/>
    <w:rsid w:val="001E0D00"/>
    <w:rsid w:val="001E445A"/>
    <w:rsid w:val="002117E6"/>
    <w:rsid w:val="00220E32"/>
    <w:rsid w:val="0022739D"/>
    <w:rsid w:val="0023201F"/>
    <w:rsid w:val="00232EDA"/>
    <w:rsid w:val="00233C13"/>
    <w:rsid w:val="00234C00"/>
    <w:rsid w:val="002352F9"/>
    <w:rsid w:val="0024033A"/>
    <w:rsid w:val="0024209A"/>
    <w:rsid w:val="00242B78"/>
    <w:rsid w:val="002454AC"/>
    <w:rsid w:val="002520D9"/>
    <w:rsid w:val="00265D2E"/>
    <w:rsid w:val="00274DBD"/>
    <w:rsid w:val="00280936"/>
    <w:rsid w:val="00285271"/>
    <w:rsid w:val="00290FEC"/>
    <w:rsid w:val="00293DD6"/>
    <w:rsid w:val="002966CA"/>
    <w:rsid w:val="002A3B4B"/>
    <w:rsid w:val="002A4338"/>
    <w:rsid w:val="002C5369"/>
    <w:rsid w:val="002C7F6D"/>
    <w:rsid w:val="002D2A6D"/>
    <w:rsid w:val="002E2477"/>
    <w:rsid w:val="002E46A4"/>
    <w:rsid w:val="002F0402"/>
    <w:rsid w:val="002F3895"/>
    <w:rsid w:val="00302513"/>
    <w:rsid w:val="00303786"/>
    <w:rsid w:val="00325C9B"/>
    <w:rsid w:val="00327F06"/>
    <w:rsid w:val="00335334"/>
    <w:rsid w:val="00336DDD"/>
    <w:rsid w:val="0034581A"/>
    <w:rsid w:val="003554E7"/>
    <w:rsid w:val="00363704"/>
    <w:rsid w:val="00364941"/>
    <w:rsid w:val="003739DD"/>
    <w:rsid w:val="00374FD6"/>
    <w:rsid w:val="00381364"/>
    <w:rsid w:val="0038178F"/>
    <w:rsid w:val="00382743"/>
    <w:rsid w:val="00390EED"/>
    <w:rsid w:val="0039367A"/>
    <w:rsid w:val="003A752E"/>
    <w:rsid w:val="003B02B0"/>
    <w:rsid w:val="003B5B1D"/>
    <w:rsid w:val="003C73DB"/>
    <w:rsid w:val="003D142F"/>
    <w:rsid w:val="003D4164"/>
    <w:rsid w:val="003E0A66"/>
    <w:rsid w:val="003E78EF"/>
    <w:rsid w:val="003F3AC6"/>
    <w:rsid w:val="003F495D"/>
    <w:rsid w:val="00400E77"/>
    <w:rsid w:val="0040581D"/>
    <w:rsid w:val="0041185C"/>
    <w:rsid w:val="00420E56"/>
    <w:rsid w:val="00421AF3"/>
    <w:rsid w:val="00423090"/>
    <w:rsid w:val="00426F0B"/>
    <w:rsid w:val="00432D28"/>
    <w:rsid w:val="00433E7A"/>
    <w:rsid w:val="00436F4C"/>
    <w:rsid w:val="00450D6E"/>
    <w:rsid w:val="00456F44"/>
    <w:rsid w:val="00467552"/>
    <w:rsid w:val="00473379"/>
    <w:rsid w:val="004755A2"/>
    <w:rsid w:val="00477982"/>
    <w:rsid w:val="004819E5"/>
    <w:rsid w:val="0048626B"/>
    <w:rsid w:val="0048644E"/>
    <w:rsid w:val="004908B6"/>
    <w:rsid w:val="004A0604"/>
    <w:rsid w:val="004D0B6D"/>
    <w:rsid w:val="004D3DEB"/>
    <w:rsid w:val="004E59C7"/>
    <w:rsid w:val="004F74C4"/>
    <w:rsid w:val="0050238E"/>
    <w:rsid w:val="005043D9"/>
    <w:rsid w:val="00506643"/>
    <w:rsid w:val="00514C96"/>
    <w:rsid w:val="00526687"/>
    <w:rsid w:val="005377F7"/>
    <w:rsid w:val="00542695"/>
    <w:rsid w:val="00544465"/>
    <w:rsid w:val="005579A8"/>
    <w:rsid w:val="00561190"/>
    <w:rsid w:val="005658F1"/>
    <w:rsid w:val="00565B47"/>
    <w:rsid w:val="005741CF"/>
    <w:rsid w:val="0057438F"/>
    <w:rsid w:val="00575A5A"/>
    <w:rsid w:val="00575E22"/>
    <w:rsid w:val="005932D0"/>
    <w:rsid w:val="0059445E"/>
    <w:rsid w:val="00597F9B"/>
    <w:rsid w:val="005A4C71"/>
    <w:rsid w:val="005B3551"/>
    <w:rsid w:val="005B5F13"/>
    <w:rsid w:val="005C2271"/>
    <w:rsid w:val="005C5601"/>
    <w:rsid w:val="005C7C65"/>
    <w:rsid w:val="005D5E7B"/>
    <w:rsid w:val="005E1A61"/>
    <w:rsid w:val="005E4621"/>
    <w:rsid w:val="005F23E0"/>
    <w:rsid w:val="006015E9"/>
    <w:rsid w:val="00605481"/>
    <w:rsid w:val="006056B0"/>
    <w:rsid w:val="0061446D"/>
    <w:rsid w:val="00625397"/>
    <w:rsid w:val="006324F0"/>
    <w:rsid w:val="00632D6D"/>
    <w:rsid w:val="00635E20"/>
    <w:rsid w:val="00637854"/>
    <w:rsid w:val="0064138E"/>
    <w:rsid w:val="00645758"/>
    <w:rsid w:val="00646216"/>
    <w:rsid w:val="00647112"/>
    <w:rsid w:val="0066562E"/>
    <w:rsid w:val="00682D89"/>
    <w:rsid w:val="00693994"/>
    <w:rsid w:val="006970A6"/>
    <w:rsid w:val="006A08AD"/>
    <w:rsid w:val="006A2F0E"/>
    <w:rsid w:val="006A6B8A"/>
    <w:rsid w:val="006C346F"/>
    <w:rsid w:val="006C5A35"/>
    <w:rsid w:val="006C5A9D"/>
    <w:rsid w:val="006C6FC8"/>
    <w:rsid w:val="006D0316"/>
    <w:rsid w:val="006F06FD"/>
    <w:rsid w:val="0070126E"/>
    <w:rsid w:val="00703D24"/>
    <w:rsid w:val="007052BA"/>
    <w:rsid w:val="00705B86"/>
    <w:rsid w:val="00705FA6"/>
    <w:rsid w:val="007260A2"/>
    <w:rsid w:val="00727683"/>
    <w:rsid w:val="007316EF"/>
    <w:rsid w:val="00740D48"/>
    <w:rsid w:val="00741437"/>
    <w:rsid w:val="007414C7"/>
    <w:rsid w:val="0074751D"/>
    <w:rsid w:val="00751363"/>
    <w:rsid w:val="00753BB6"/>
    <w:rsid w:val="00773B18"/>
    <w:rsid w:val="00784F67"/>
    <w:rsid w:val="00787186"/>
    <w:rsid w:val="00790F76"/>
    <w:rsid w:val="007A4B0F"/>
    <w:rsid w:val="007A5DD1"/>
    <w:rsid w:val="007C4DE3"/>
    <w:rsid w:val="007D0383"/>
    <w:rsid w:val="00813AD2"/>
    <w:rsid w:val="008169A6"/>
    <w:rsid w:val="00817F9A"/>
    <w:rsid w:val="0082072A"/>
    <w:rsid w:val="0082186E"/>
    <w:rsid w:val="008228E2"/>
    <w:rsid w:val="00822CF6"/>
    <w:rsid w:val="00834920"/>
    <w:rsid w:val="00834DE8"/>
    <w:rsid w:val="00835593"/>
    <w:rsid w:val="00842CA0"/>
    <w:rsid w:val="00844F5B"/>
    <w:rsid w:val="0085278E"/>
    <w:rsid w:val="00860792"/>
    <w:rsid w:val="00860C86"/>
    <w:rsid w:val="008646E6"/>
    <w:rsid w:val="00866475"/>
    <w:rsid w:val="00867254"/>
    <w:rsid w:val="00873F1A"/>
    <w:rsid w:val="0088509A"/>
    <w:rsid w:val="00885C3E"/>
    <w:rsid w:val="00893360"/>
    <w:rsid w:val="008A4B1F"/>
    <w:rsid w:val="008B2A19"/>
    <w:rsid w:val="008B639A"/>
    <w:rsid w:val="008B6411"/>
    <w:rsid w:val="008B703E"/>
    <w:rsid w:val="008B72B1"/>
    <w:rsid w:val="008B767F"/>
    <w:rsid w:val="008C0B20"/>
    <w:rsid w:val="008D4E53"/>
    <w:rsid w:val="008D63D0"/>
    <w:rsid w:val="008F7FA4"/>
    <w:rsid w:val="00911ADA"/>
    <w:rsid w:val="00912280"/>
    <w:rsid w:val="00927FF3"/>
    <w:rsid w:val="009313D2"/>
    <w:rsid w:val="00932517"/>
    <w:rsid w:val="00937283"/>
    <w:rsid w:val="0094124E"/>
    <w:rsid w:val="00943B88"/>
    <w:rsid w:val="00957422"/>
    <w:rsid w:val="00960588"/>
    <w:rsid w:val="009654E0"/>
    <w:rsid w:val="00966C24"/>
    <w:rsid w:val="00973B6F"/>
    <w:rsid w:val="009A5A99"/>
    <w:rsid w:val="009B74C6"/>
    <w:rsid w:val="009B7EF0"/>
    <w:rsid w:val="009C01D1"/>
    <w:rsid w:val="009C47F7"/>
    <w:rsid w:val="009C627D"/>
    <w:rsid w:val="009D0D57"/>
    <w:rsid w:val="009E12E4"/>
    <w:rsid w:val="009E3CE4"/>
    <w:rsid w:val="00A0554C"/>
    <w:rsid w:val="00A06663"/>
    <w:rsid w:val="00A150F0"/>
    <w:rsid w:val="00A22246"/>
    <w:rsid w:val="00A2250B"/>
    <w:rsid w:val="00A23B40"/>
    <w:rsid w:val="00A241FE"/>
    <w:rsid w:val="00A356EE"/>
    <w:rsid w:val="00A35CD0"/>
    <w:rsid w:val="00A36AC2"/>
    <w:rsid w:val="00A44D6C"/>
    <w:rsid w:val="00A463A4"/>
    <w:rsid w:val="00A57B08"/>
    <w:rsid w:val="00A606B1"/>
    <w:rsid w:val="00A66771"/>
    <w:rsid w:val="00A6710D"/>
    <w:rsid w:val="00A830DE"/>
    <w:rsid w:val="00A8496B"/>
    <w:rsid w:val="00A91A72"/>
    <w:rsid w:val="00A942AD"/>
    <w:rsid w:val="00AA38E6"/>
    <w:rsid w:val="00AB4C24"/>
    <w:rsid w:val="00AB6DA2"/>
    <w:rsid w:val="00AC0B64"/>
    <w:rsid w:val="00AC1A69"/>
    <w:rsid w:val="00AC705F"/>
    <w:rsid w:val="00AD13E7"/>
    <w:rsid w:val="00AD4070"/>
    <w:rsid w:val="00AD6B9F"/>
    <w:rsid w:val="00AE124F"/>
    <w:rsid w:val="00AE4F02"/>
    <w:rsid w:val="00AF5FC0"/>
    <w:rsid w:val="00AF77C4"/>
    <w:rsid w:val="00B0401E"/>
    <w:rsid w:val="00B049A4"/>
    <w:rsid w:val="00B04E5C"/>
    <w:rsid w:val="00B1045C"/>
    <w:rsid w:val="00B125BB"/>
    <w:rsid w:val="00B20577"/>
    <w:rsid w:val="00B32DA1"/>
    <w:rsid w:val="00B365B6"/>
    <w:rsid w:val="00B4112B"/>
    <w:rsid w:val="00B419AA"/>
    <w:rsid w:val="00B43B95"/>
    <w:rsid w:val="00B43C56"/>
    <w:rsid w:val="00B450ED"/>
    <w:rsid w:val="00B54081"/>
    <w:rsid w:val="00B55747"/>
    <w:rsid w:val="00B60A5F"/>
    <w:rsid w:val="00B704AE"/>
    <w:rsid w:val="00B723E4"/>
    <w:rsid w:val="00B93737"/>
    <w:rsid w:val="00B945EA"/>
    <w:rsid w:val="00B946E2"/>
    <w:rsid w:val="00B96691"/>
    <w:rsid w:val="00B96893"/>
    <w:rsid w:val="00BA0A5A"/>
    <w:rsid w:val="00BB1AD9"/>
    <w:rsid w:val="00BC0D30"/>
    <w:rsid w:val="00BC329E"/>
    <w:rsid w:val="00BC340B"/>
    <w:rsid w:val="00BC4BB1"/>
    <w:rsid w:val="00BC7D72"/>
    <w:rsid w:val="00BD6A76"/>
    <w:rsid w:val="00BD6F6B"/>
    <w:rsid w:val="00BE14E0"/>
    <w:rsid w:val="00BE1F34"/>
    <w:rsid w:val="00BE25B4"/>
    <w:rsid w:val="00BE7E66"/>
    <w:rsid w:val="00BF3D0F"/>
    <w:rsid w:val="00C10EB0"/>
    <w:rsid w:val="00C16794"/>
    <w:rsid w:val="00C240E2"/>
    <w:rsid w:val="00C24F90"/>
    <w:rsid w:val="00C3695F"/>
    <w:rsid w:val="00C40CB8"/>
    <w:rsid w:val="00C42B8C"/>
    <w:rsid w:val="00C451EE"/>
    <w:rsid w:val="00C55F55"/>
    <w:rsid w:val="00C602AC"/>
    <w:rsid w:val="00C80E76"/>
    <w:rsid w:val="00C92FE2"/>
    <w:rsid w:val="00C949A6"/>
    <w:rsid w:val="00CA21AF"/>
    <w:rsid w:val="00CB71DC"/>
    <w:rsid w:val="00CC4247"/>
    <w:rsid w:val="00CC75CC"/>
    <w:rsid w:val="00CD0CB6"/>
    <w:rsid w:val="00CD5C1E"/>
    <w:rsid w:val="00CD638F"/>
    <w:rsid w:val="00CD64B0"/>
    <w:rsid w:val="00CD73FD"/>
    <w:rsid w:val="00CE07F2"/>
    <w:rsid w:val="00CE5C90"/>
    <w:rsid w:val="00CF2BB9"/>
    <w:rsid w:val="00CF7812"/>
    <w:rsid w:val="00D027D3"/>
    <w:rsid w:val="00D03AE2"/>
    <w:rsid w:val="00D14C03"/>
    <w:rsid w:val="00D17C52"/>
    <w:rsid w:val="00D266CC"/>
    <w:rsid w:val="00D326AF"/>
    <w:rsid w:val="00D3576C"/>
    <w:rsid w:val="00D41573"/>
    <w:rsid w:val="00D41EF9"/>
    <w:rsid w:val="00D44042"/>
    <w:rsid w:val="00D47936"/>
    <w:rsid w:val="00D5012E"/>
    <w:rsid w:val="00D521E7"/>
    <w:rsid w:val="00D64DEB"/>
    <w:rsid w:val="00D71F8F"/>
    <w:rsid w:val="00D733BF"/>
    <w:rsid w:val="00D746E5"/>
    <w:rsid w:val="00D8308E"/>
    <w:rsid w:val="00D83E2C"/>
    <w:rsid w:val="00D86CAA"/>
    <w:rsid w:val="00D92957"/>
    <w:rsid w:val="00DB16D1"/>
    <w:rsid w:val="00DB4FA3"/>
    <w:rsid w:val="00DB7840"/>
    <w:rsid w:val="00DB79DB"/>
    <w:rsid w:val="00DC17B6"/>
    <w:rsid w:val="00DC2DFA"/>
    <w:rsid w:val="00DC6A98"/>
    <w:rsid w:val="00DD328C"/>
    <w:rsid w:val="00DD4ACA"/>
    <w:rsid w:val="00DD5D52"/>
    <w:rsid w:val="00E03DF5"/>
    <w:rsid w:val="00E06D3D"/>
    <w:rsid w:val="00E23218"/>
    <w:rsid w:val="00E24598"/>
    <w:rsid w:val="00E34525"/>
    <w:rsid w:val="00E42F9F"/>
    <w:rsid w:val="00E45141"/>
    <w:rsid w:val="00E51636"/>
    <w:rsid w:val="00E51D5C"/>
    <w:rsid w:val="00E71039"/>
    <w:rsid w:val="00E76886"/>
    <w:rsid w:val="00E819BF"/>
    <w:rsid w:val="00E85276"/>
    <w:rsid w:val="00E92EB5"/>
    <w:rsid w:val="00E97404"/>
    <w:rsid w:val="00EA2F26"/>
    <w:rsid w:val="00EA46F1"/>
    <w:rsid w:val="00EA5BA4"/>
    <w:rsid w:val="00EA6D34"/>
    <w:rsid w:val="00EB270F"/>
    <w:rsid w:val="00EB2BEB"/>
    <w:rsid w:val="00EB40A5"/>
    <w:rsid w:val="00ED0209"/>
    <w:rsid w:val="00ED0ECD"/>
    <w:rsid w:val="00EE5043"/>
    <w:rsid w:val="00EE7759"/>
    <w:rsid w:val="00EF213E"/>
    <w:rsid w:val="00EF2A51"/>
    <w:rsid w:val="00EF4CB3"/>
    <w:rsid w:val="00EF61B4"/>
    <w:rsid w:val="00F02CC1"/>
    <w:rsid w:val="00F106D4"/>
    <w:rsid w:val="00F120A2"/>
    <w:rsid w:val="00F137B9"/>
    <w:rsid w:val="00F236CF"/>
    <w:rsid w:val="00F239E3"/>
    <w:rsid w:val="00F241F9"/>
    <w:rsid w:val="00F242E6"/>
    <w:rsid w:val="00F27C6B"/>
    <w:rsid w:val="00F3567E"/>
    <w:rsid w:val="00F408EE"/>
    <w:rsid w:val="00F56262"/>
    <w:rsid w:val="00F67604"/>
    <w:rsid w:val="00F701E3"/>
    <w:rsid w:val="00F7051B"/>
    <w:rsid w:val="00F72BB2"/>
    <w:rsid w:val="00F86DEA"/>
    <w:rsid w:val="00F9394E"/>
    <w:rsid w:val="00F9793C"/>
    <w:rsid w:val="00FB7DF7"/>
    <w:rsid w:val="00FC0C98"/>
    <w:rsid w:val="00FC16F3"/>
    <w:rsid w:val="00FC2CDB"/>
    <w:rsid w:val="00FC6382"/>
    <w:rsid w:val="00FD3A79"/>
    <w:rsid w:val="00FD5FED"/>
    <w:rsid w:val="00FE6B97"/>
    <w:rsid w:val="00FF4213"/>
  </w:rsids>
  <m:mathPr>
    <m:mathFont m:val="Cambria Math"/>
    <m:brkBin m:val="before"/>
    <m:brkBinSub m:val="--"/>
    <m:smallFrac m:val="0"/>
    <m:dispDef/>
    <m:lMargin m:val="0"/>
    <m:rMargin m:val="0"/>
    <m:defJc m:val="centerGroup"/>
    <m:wrapIndent m:val="1440"/>
    <m:intLim m:val="subSup"/>
    <m:naryLim m:val="undOvr"/>
  </m:mathPr>
  <w:themeFontLang w:val="en-AU" w:eastAsia="zh-TW" w:bidi="hi-IN"/>
  <w:clrSchemeMapping w:bg1="light1" w:t1="dark1" w:bg2="light2" w:t2="dark2" w:accent1="accent1" w:accent2="accent2" w:accent3="accent3" w:accent4="accent4" w:accent5="accent5" w:accent6="accent6" w:hyperlink="hyperlink" w:followedHyperlink="followedHyperlink"/>
  <w:shapeDefaults>
    <o:shapedefaults v:ext="edit" spidmax="161793"/>
    <o:shapelayout v:ext="edit">
      <o:idmap v:ext="edit" data="1"/>
    </o:shapelayout>
  </w:shapeDefaults>
  <w:decimalSymbol w:val="."/>
  <w:listSeparator w:val=","/>
  <w14:docId w14:val="17295A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AU" w:eastAsia="zh-TW"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67552"/>
    <w:pPr>
      <w:spacing w:after="200" w:line="240" w:lineRule="auto"/>
    </w:pPr>
  </w:style>
  <w:style w:type="paragraph" w:styleId="Heading1">
    <w:name w:val="heading 1"/>
    <w:basedOn w:val="Normal"/>
    <w:next w:val="Normal"/>
    <w:link w:val="Heading1Char"/>
    <w:uiPriority w:val="9"/>
    <w:qFormat/>
    <w:rsid w:val="00DC6A98"/>
    <w:pPr>
      <w:keepNext/>
      <w:spacing w:before="360" w:after="240"/>
      <w:outlineLvl w:val="0"/>
    </w:pPr>
    <w:rPr>
      <w:rFonts w:asciiTheme="majorHAnsi" w:eastAsiaTheme="majorEastAsia" w:hAnsiTheme="majorHAnsi" w:cstheme="majorBidi"/>
      <w:b/>
      <w:sz w:val="48"/>
      <w:szCs w:val="32"/>
      <w:lang w:eastAsia="en-US"/>
    </w:rPr>
  </w:style>
  <w:style w:type="paragraph" w:styleId="Heading2">
    <w:name w:val="heading 2"/>
    <w:basedOn w:val="Normal"/>
    <w:next w:val="Normal"/>
    <w:link w:val="Heading2Char"/>
    <w:uiPriority w:val="9"/>
    <w:unhideWhenUsed/>
    <w:qFormat/>
    <w:rsid w:val="00242B78"/>
    <w:pPr>
      <w:keepNext/>
      <w:outlineLvl w:val="1"/>
    </w:pPr>
    <w:rPr>
      <w:rFonts w:asciiTheme="majorHAnsi" w:eastAsiaTheme="majorEastAsia" w:hAnsiTheme="majorHAnsi" w:cstheme="majorBidi"/>
      <w:b/>
      <w:color w:val="554B87"/>
      <w:sz w:val="36"/>
      <w:szCs w:val="26"/>
      <w:lang w:eastAsia="en-US"/>
    </w:rPr>
  </w:style>
  <w:style w:type="paragraph" w:styleId="Heading3">
    <w:name w:val="heading 3"/>
    <w:basedOn w:val="Normal"/>
    <w:next w:val="Normal"/>
    <w:link w:val="Heading3Char"/>
    <w:uiPriority w:val="9"/>
    <w:unhideWhenUsed/>
    <w:qFormat/>
    <w:rsid w:val="00242B78"/>
    <w:pPr>
      <w:keepNext/>
      <w:spacing w:after="120"/>
      <w:outlineLvl w:val="2"/>
    </w:pPr>
    <w:rPr>
      <w:rFonts w:asciiTheme="majorHAnsi" w:eastAsiaTheme="majorEastAsia" w:hAnsiTheme="majorHAnsi" w:cstheme="majorBidi"/>
      <w:b/>
      <w:color w:val="554B87"/>
      <w:sz w:val="30"/>
      <w:szCs w:val="24"/>
      <w:lang w:eastAsia="en-US"/>
    </w:rPr>
  </w:style>
  <w:style w:type="paragraph" w:styleId="Heading4">
    <w:name w:val="heading 4"/>
    <w:basedOn w:val="Normal"/>
    <w:next w:val="Normal"/>
    <w:link w:val="Heading4Char"/>
    <w:uiPriority w:val="9"/>
    <w:unhideWhenUsed/>
    <w:qFormat/>
    <w:rsid w:val="00242B78"/>
    <w:pPr>
      <w:keepNext/>
      <w:keepLines/>
      <w:spacing w:after="120"/>
      <w:outlineLvl w:val="3"/>
    </w:pPr>
    <w:rPr>
      <w:rFonts w:asciiTheme="majorHAnsi" w:eastAsiaTheme="majorEastAsia" w:hAnsiTheme="majorHAnsi" w:cstheme="majorBidi"/>
      <w:b/>
      <w:bCs/>
      <w:color w:val="554B87"/>
      <w:sz w:val="24"/>
      <w:szCs w:val="24"/>
    </w:rPr>
  </w:style>
  <w:style w:type="paragraph" w:styleId="Heading5">
    <w:name w:val="heading 5"/>
    <w:basedOn w:val="Normal"/>
    <w:next w:val="Normal"/>
    <w:link w:val="Heading5Char"/>
    <w:uiPriority w:val="9"/>
    <w:unhideWhenUsed/>
    <w:qFormat/>
    <w:rsid w:val="00242B78"/>
    <w:pPr>
      <w:keepNext/>
      <w:keepLines/>
      <w:spacing w:after="60"/>
      <w:outlineLvl w:val="4"/>
    </w:pPr>
    <w:rPr>
      <w:rFonts w:asciiTheme="majorHAnsi" w:eastAsiaTheme="majorEastAsia" w:hAnsiTheme="majorHAnsi" w:cstheme="majorBidi"/>
      <w:b/>
      <w:color w:val="554B87"/>
    </w:rPr>
  </w:style>
  <w:style w:type="paragraph" w:styleId="Heading6">
    <w:name w:val="heading 6"/>
    <w:basedOn w:val="Normal"/>
    <w:next w:val="Normal"/>
    <w:link w:val="Heading6Char"/>
    <w:uiPriority w:val="9"/>
    <w:unhideWhenUsed/>
    <w:qFormat/>
    <w:rsid w:val="00242B78"/>
    <w:pPr>
      <w:keepNext/>
      <w:keepLines/>
      <w:spacing w:after="60"/>
      <w:outlineLvl w:val="5"/>
    </w:pPr>
    <w:rPr>
      <w:rFonts w:asciiTheme="majorHAnsi" w:eastAsiaTheme="majorEastAsia" w:hAnsiTheme="majorHAnsi" w:cstheme="majorBidi"/>
      <w:b/>
      <w:i/>
      <w:iCs/>
      <w:color w:val="554B87"/>
    </w:rPr>
  </w:style>
  <w:style w:type="paragraph" w:styleId="Heading7">
    <w:name w:val="heading 7"/>
    <w:basedOn w:val="Normal"/>
    <w:next w:val="Normal"/>
    <w:link w:val="Heading7Char"/>
    <w:uiPriority w:val="9"/>
    <w:unhideWhenUsed/>
    <w:qFormat/>
    <w:rsid w:val="00242B78"/>
    <w:pPr>
      <w:keepNext/>
      <w:keepLines/>
      <w:spacing w:before="40" w:after="0"/>
      <w:outlineLvl w:val="6"/>
    </w:pPr>
    <w:rPr>
      <w:rFonts w:asciiTheme="majorHAnsi" w:eastAsiaTheme="majorEastAsia" w:hAnsiTheme="majorHAnsi" w:cstheme="majorBidi"/>
      <w:b/>
      <w:i/>
      <w:iCs/>
      <w:color w:val="554B87"/>
    </w:rPr>
  </w:style>
  <w:style w:type="paragraph" w:styleId="Heading8">
    <w:name w:val="heading 8"/>
    <w:basedOn w:val="Normal"/>
    <w:next w:val="Normal"/>
    <w:link w:val="Heading8Char"/>
    <w:uiPriority w:val="9"/>
    <w:unhideWhenUsed/>
    <w:qFormat/>
    <w:rsid w:val="00242B78"/>
    <w:pPr>
      <w:keepNext/>
      <w:keepLines/>
      <w:spacing w:before="40" w:after="0"/>
      <w:outlineLvl w:val="7"/>
    </w:pPr>
    <w:rPr>
      <w:rFonts w:asciiTheme="majorHAnsi" w:eastAsiaTheme="majorEastAsia" w:hAnsiTheme="majorHAnsi" w:cstheme="majorBidi"/>
      <w:b/>
      <w:color w:val="554B87"/>
      <w:sz w:val="21"/>
      <w:szCs w:val="21"/>
    </w:rPr>
  </w:style>
  <w:style w:type="paragraph" w:styleId="Heading9">
    <w:name w:val="heading 9"/>
    <w:basedOn w:val="Normal"/>
    <w:next w:val="Normal"/>
    <w:link w:val="Heading9Char"/>
    <w:uiPriority w:val="9"/>
    <w:unhideWhenUsed/>
    <w:qFormat/>
    <w:rsid w:val="00242B78"/>
    <w:pPr>
      <w:keepNext/>
      <w:keepLines/>
      <w:spacing w:before="40" w:after="0"/>
      <w:outlineLvl w:val="8"/>
    </w:pPr>
    <w:rPr>
      <w:rFonts w:asciiTheme="majorHAnsi" w:eastAsiaTheme="majorEastAsia" w:hAnsiTheme="majorHAnsi" w:cstheme="majorBidi"/>
      <w:b/>
      <w:i/>
      <w:iCs/>
      <w:color w:val="554B87"/>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C6A98"/>
    <w:rPr>
      <w:rFonts w:asciiTheme="majorHAnsi" w:eastAsiaTheme="majorEastAsia" w:hAnsiTheme="majorHAnsi" w:cstheme="majorBidi"/>
      <w:b/>
      <w:sz w:val="48"/>
      <w:szCs w:val="32"/>
      <w:lang w:eastAsia="en-US"/>
    </w:rPr>
  </w:style>
  <w:style w:type="character" w:customStyle="1" w:styleId="Heading2Char">
    <w:name w:val="Heading 2 Char"/>
    <w:basedOn w:val="DefaultParagraphFont"/>
    <w:link w:val="Heading2"/>
    <w:uiPriority w:val="9"/>
    <w:rsid w:val="00242B78"/>
    <w:rPr>
      <w:rFonts w:asciiTheme="majorHAnsi" w:eastAsiaTheme="majorEastAsia" w:hAnsiTheme="majorHAnsi" w:cstheme="majorBidi"/>
      <w:b/>
      <w:color w:val="554B87"/>
      <w:sz w:val="36"/>
      <w:szCs w:val="26"/>
      <w:lang w:eastAsia="en-US"/>
    </w:rPr>
  </w:style>
  <w:style w:type="character" w:customStyle="1" w:styleId="Heading3Char">
    <w:name w:val="Heading 3 Char"/>
    <w:basedOn w:val="DefaultParagraphFont"/>
    <w:link w:val="Heading3"/>
    <w:uiPriority w:val="9"/>
    <w:rsid w:val="00242B78"/>
    <w:rPr>
      <w:rFonts w:asciiTheme="majorHAnsi" w:eastAsiaTheme="majorEastAsia" w:hAnsiTheme="majorHAnsi" w:cstheme="majorBidi"/>
      <w:b/>
      <w:color w:val="554B87"/>
      <w:sz w:val="30"/>
      <w:szCs w:val="24"/>
      <w:lang w:eastAsia="en-US"/>
    </w:rPr>
  </w:style>
  <w:style w:type="character" w:styleId="Hyperlink">
    <w:name w:val="Hyperlink"/>
    <w:basedOn w:val="DefaultParagraphFont"/>
    <w:uiPriority w:val="99"/>
    <w:unhideWhenUsed/>
    <w:rsid w:val="00F56262"/>
    <w:rPr>
      <w:b/>
      <w:color w:val="554B87"/>
      <w:u w:val="single"/>
    </w:rPr>
  </w:style>
  <w:style w:type="paragraph" w:customStyle="1" w:styleId="Bulletlevel1">
    <w:name w:val="Bullet level 1"/>
    <w:basedOn w:val="Normal"/>
    <w:qFormat/>
    <w:rsid w:val="002117E6"/>
    <w:pPr>
      <w:numPr>
        <w:numId w:val="1"/>
      </w:numPr>
      <w:ind w:left="567" w:hanging="567"/>
      <w:contextualSpacing/>
    </w:pPr>
    <w:rPr>
      <w:rFonts w:eastAsiaTheme="minorHAnsi"/>
      <w:lang w:eastAsia="en-US"/>
    </w:rPr>
  </w:style>
  <w:style w:type="paragraph" w:styleId="Quote">
    <w:name w:val="Quote"/>
    <w:basedOn w:val="Normal"/>
    <w:next w:val="Normal"/>
    <w:link w:val="QuoteChar"/>
    <w:uiPriority w:val="29"/>
    <w:qFormat/>
    <w:rsid w:val="00467552"/>
    <w:pPr>
      <w:ind w:left="567"/>
    </w:pPr>
    <w:rPr>
      <w:rFonts w:eastAsiaTheme="minorHAnsi"/>
      <w:b/>
      <w:i/>
      <w:iCs/>
      <w:color w:val="554B87"/>
      <w:lang w:eastAsia="en-US"/>
    </w:rPr>
  </w:style>
  <w:style w:type="character" w:customStyle="1" w:styleId="QuoteChar">
    <w:name w:val="Quote Char"/>
    <w:basedOn w:val="DefaultParagraphFont"/>
    <w:link w:val="Quote"/>
    <w:uiPriority w:val="29"/>
    <w:rsid w:val="00467552"/>
    <w:rPr>
      <w:rFonts w:eastAsiaTheme="minorHAnsi"/>
      <w:b/>
      <w:i/>
      <w:iCs/>
      <w:color w:val="554B87"/>
      <w:lang w:eastAsia="en-US"/>
    </w:rPr>
  </w:style>
  <w:style w:type="paragraph" w:styleId="Header">
    <w:name w:val="header"/>
    <w:basedOn w:val="Normal"/>
    <w:link w:val="HeaderChar"/>
    <w:uiPriority w:val="99"/>
    <w:unhideWhenUsed/>
    <w:rsid w:val="002117E6"/>
    <w:pPr>
      <w:tabs>
        <w:tab w:val="center" w:pos="4513"/>
        <w:tab w:val="right" w:pos="9026"/>
      </w:tabs>
      <w:spacing w:after="0"/>
    </w:pPr>
  </w:style>
  <w:style w:type="character" w:customStyle="1" w:styleId="HeaderChar">
    <w:name w:val="Header Char"/>
    <w:basedOn w:val="DefaultParagraphFont"/>
    <w:link w:val="Header"/>
    <w:uiPriority w:val="99"/>
    <w:rsid w:val="002117E6"/>
  </w:style>
  <w:style w:type="paragraph" w:styleId="Footer">
    <w:name w:val="footer"/>
    <w:basedOn w:val="Normal"/>
    <w:link w:val="FooterChar"/>
    <w:uiPriority w:val="99"/>
    <w:unhideWhenUsed/>
    <w:rsid w:val="002117E6"/>
    <w:pPr>
      <w:tabs>
        <w:tab w:val="center" w:pos="4513"/>
        <w:tab w:val="right" w:pos="9026"/>
      </w:tabs>
      <w:spacing w:after="0"/>
    </w:pPr>
  </w:style>
  <w:style w:type="character" w:customStyle="1" w:styleId="FooterChar">
    <w:name w:val="Footer Char"/>
    <w:basedOn w:val="DefaultParagraphFont"/>
    <w:link w:val="Footer"/>
    <w:uiPriority w:val="99"/>
    <w:rsid w:val="002117E6"/>
  </w:style>
  <w:style w:type="character" w:customStyle="1" w:styleId="Heading4Char">
    <w:name w:val="Heading 4 Char"/>
    <w:basedOn w:val="DefaultParagraphFont"/>
    <w:link w:val="Heading4"/>
    <w:uiPriority w:val="9"/>
    <w:rsid w:val="00242B78"/>
    <w:rPr>
      <w:rFonts w:asciiTheme="majorHAnsi" w:eastAsiaTheme="majorEastAsia" w:hAnsiTheme="majorHAnsi" w:cstheme="majorBidi"/>
      <w:b/>
      <w:bCs/>
      <w:color w:val="554B87"/>
      <w:sz w:val="24"/>
      <w:szCs w:val="24"/>
    </w:rPr>
  </w:style>
  <w:style w:type="character" w:customStyle="1" w:styleId="Heading5Char">
    <w:name w:val="Heading 5 Char"/>
    <w:basedOn w:val="DefaultParagraphFont"/>
    <w:link w:val="Heading5"/>
    <w:uiPriority w:val="9"/>
    <w:rsid w:val="00242B78"/>
    <w:rPr>
      <w:rFonts w:asciiTheme="majorHAnsi" w:eastAsiaTheme="majorEastAsia" w:hAnsiTheme="majorHAnsi" w:cstheme="majorBidi"/>
      <w:b/>
      <w:color w:val="554B87"/>
    </w:rPr>
  </w:style>
  <w:style w:type="table" w:styleId="TableGrid">
    <w:name w:val="Table Grid"/>
    <w:basedOn w:val="TableNormal"/>
    <w:uiPriority w:val="39"/>
    <w:rsid w:val="002117E6"/>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figureheading">
    <w:name w:val="Table/figure heading"/>
    <w:basedOn w:val="Normal"/>
    <w:next w:val="Normal"/>
    <w:qFormat/>
    <w:rsid w:val="008B767F"/>
    <w:pPr>
      <w:keepNext/>
      <w:spacing w:after="0"/>
    </w:pPr>
    <w:rPr>
      <w:rFonts w:asciiTheme="majorHAnsi" w:eastAsiaTheme="minorHAnsi" w:hAnsiTheme="majorHAnsi"/>
      <w:b/>
      <w:color w:val="554B87"/>
      <w:lang w:eastAsia="en-US"/>
    </w:rPr>
  </w:style>
  <w:style w:type="paragraph" w:customStyle="1" w:styleId="Tabletextcentred">
    <w:name w:val="Table text centred"/>
    <w:basedOn w:val="Normal"/>
    <w:next w:val="NoSpacing"/>
    <w:rsid w:val="002117E6"/>
    <w:pPr>
      <w:spacing w:after="0"/>
      <w:jc w:val="center"/>
    </w:pPr>
    <w:rPr>
      <w:rFonts w:eastAsia="Times New Roman" w:cs="Times New Roman"/>
      <w:szCs w:val="20"/>
      <w:lang w:eastAsia="en-US"/>
    </w:rPr>
  </w:style>
  <w:style w:type="paragraph" w:customStyle="1" w:styleId="Tablerowcolumnheadingcentred">
    <w:name w:val="Table row/column heading centred"/>
    <w:basedOn w:val="Normal"/>
    <w:next w:val="Normal"/>
    <w:rsid w:val="002117E6"/>
    <w:pPr>
      <w:spacing w:after="0"/>
      <w:jc w:val="center"/>
    </w:pPr>
    <w:rPr>
      <w:rFonts w:eastAsia="Times New Roman" w:cs="Times New Roman"/>
      <w:b/>
      <w:bCs/>
      <w:szCs w:val="20"/>
      <w:lang w:eastAsia="en-US"/>
    </w:rPr>
  </w:style>
  <w:style w:type="paragraph" w:customStyle="1" w:styleId="Tabletext">
    <w:name w:val="Table text"/>
    <w:basedOn w:val="Tabletextcentred"/>
    <w:qFormat/>
    <w:rsid w:val="002117E6"/>
    <w:pPr>
      <w:jc w:val="left"/>
    </w:pPr>
  </w:style>
  <w:style w:type="paragraph" w:styleId="NoSpacing">
    <w:name w:val="No Spacing"/>
    <w:uiPriority w:val="1"/>
    <w:qFormat/>
    <w:rsid w:val="002117E6"/>
    <w:pPr>
      <w:spacing w:after="0" w:line="240" w:lineRule="auto"/>
    </w:pPr>
  </w:style>
  <w:style w:type="paragraph" w:customStyle="1" w:styleId="Tablerowcolumnheading">
    <w:name w:val="Table row/column heading"/>
    <w:basedOn w:val="Normal"/>
    <w:next w:val="Normal"/>
    <w:rsid w:val="002117E6"/>
    <w:pPr>
      <w:spacing w:after="0"/>
    </w:pPr>
    <w:rPr>
      <w:rFonts w:eastAsia="Times New Roman" w:cs="Times New Roman"/>
      <w:b/>
      <w:bCs/>
      <w:szCs w:val="20"/>
      <w:lang w:eastAsia="en-US"/>
    </w:rPr>
  </w:style>
  <w:style w:type="paragraph" w:customStyle="1" w:styleId="Checkboxemptybulletpoint">
    <w:name w:val="Check box empty bullet point"/>
    <w:basedOn w:val="Bulletlevel1"/>
    <w:qFormat/>
    <w:rsid w:val="002117E6"/>
    <w:pPr>
      <w:numPr>
        <w:numId w:val="2"/>
      </w:numPr>
      <w:spacing w:after="0"/>
      <w:ind w:left="567" w:hanging="567"/>
    </w:pPr>
  </w:style>
  <w:style w:type="character" w:customStyle="1" w:styleId="Heading6Char">
    <w:name w:val="Heading 6 Char"/>
    <w:basedOn w:val="DefaultParagraphFont"/>
    <w:link w:val="Heading6"/>
    <w:uiPriority w:val="9"/>
    <w:rsid w:val="00242B78"/>
    <w:rPr>
      <w:rFonts w:asciiTheme="majorHAnsi" w:eastAsiaTheme="majorEastAsia" w:hAnsiTheme="majorHAnsi" w:cstheme="majorBidi"/>
      <w:b/>
      <w:i/>
      <w:iCs/>
      <w:color w:val="554B87"/>
    </w:rPr>
  </w:style>
  <w:style w:type="character" w:customStyle="1" w:styleId="Heading7Char">
    <w:name w:val="Heading 7 Char"/>
    <w:basedOn w:val="DefaultParagraphFont"/>
    <w:link w:val="Heading7"/>
    <w:uiPriority w:val="9"/>
    <w:rsid w:val="00242B78"/>
    <w:rPr>
      <w:rFonts w:asciiTheme="majorHAnsi" w:eastAsiaTheme="majorEastAsia" w:hAnsiTheme="majorHAnsi" w:cstheme="majorBidi"/>
      <w:b/>
      <w:i/>
      <w:iCs/>
      <w:color w:val="554B87"/>
    </w:rPr>
  </w:style>
  <w:style w:type="character" w:customStyle="1" w:styleId="Heading8Char">
    <w:name w:val="Heading 8 Char"/>
    <w:basedOn w:val="DefaultParagraphFont"/>
    <w:link w:val="Heading8"/>
    <w:uiPriority w:val="9"/>
    <w:rsid w:val="00242B78"/>
    <w:rPr>
      <w:rFonts w:asciiTheme="majorHAnsi" w:eastAsiaTheme="majorEastAsia" w:hAnsiTheme="majorHAnsi" w:cstheme="majorBidi"/>
      <w:b/>
      <w:color w:val="554B87"/>
      <w:sz w:val="21"/>
      <w:szCs w:val="21"/>
    </w:rPr>
  </w:style>
  <w:style w:type="character" w:customStyle="1" w:styleId="Heading9Char">
    <w:name w:val="Heading 9 Char"/>
    <w:basedOn w:val="DefaultParagraphFont"/>
    <w:link w:val="Heading9"/>
    <w:uiPriority w:val="9"/>
    <w:rsid w:val="00242B78"/>
    <w:rPr>
      <w:rFonts w:asciiTheme="majorHAnsi" w:eastAsiaTheme="majorEastAsia" w:hAnsiTheme="majorHAnsi" w:cstheme="majorBidi"/>
      <w:b/>
      <w:i/>
      <w:iCs/>
      <w:color w:val="554B87"/>
      <w:szCs w:val="21"/>
    </w:rPr>
  </w:style>
  <w:style w:type="character" w:styleId="PlaceholderText">
    <w:name w:val="Placeholder Text"/>
    <w:basedOn w:val="DefaultParagraphFont"/>
    <w:uiPriority w:val="99"/>
    <w:semiHidden/>
    <w:rsid w:val="0064138E"/>
    <w:rPr>
      <w:color w:val="808080"/>
    </w:rPr>
  </w:style>
  <w:style w:type="character" w:styleId="FollowedHyperlink">
    <w:name w:val="FollowedHyperlink"/>
    <w:basedOn w:val="DefaultParagraphFont"/>
    <w:uiPriority w:val="99"/>
    <w:semiHidden/>
    <w:unhideWhenUsed/>
    <w:rsid w:val="009B7EF0"/>
    <w:rPr>
      <w:color w:val="155589" w:themeColor="followedHyperlink"/>
      <w:u w:val="single"/>
    </w:rPr>
  </w:style>
  <w:style w:type="character" w:customStyle="1" w:styleId="UnresolvedMention1">
    <w:name w:val="Unresolved Mention1"/>
    <w:basedOn w:val="DefaultParagraphFont"/>
    <w:uiPriority w:val="99"/>
    <w:semiHidden/>
    <w:unhideWhenUsed/>
    <w:rsid w:val="0094124E"/>
    <w:rPr>
      <w:color w:val="808080"/>
      <w:shd w:val="clear" w:color="auto" w:fill="E6E6E6"/>
    </w:rPr>
  </w:style>
  <w:style w:type="paragraph" w:customStyle="1" w:styleId="Heading2-notshowing">
    <w:name w:val="Heading 2 - not showing"/>
    <w:basedOn w:val="Heading2"/>
    <w:qFormat/>
    <w:rsid w:val="00D03AE2"/>
    <w:pPr>
      <w:spacing w:after="120"/>
    </w:pPr>
    <w:rPr>
      <w:sz w:val="32"/>
    </w:rPr>
  </w:style>
  <w:style w:type="paragraph" w:customStyle="1" w:styleId="Heading3-notshowing">
    <w:name w:val="Heading 3 - not showing"/>
    <w:basedOn w:val="Heading3"/>
    <w:qFormat/>
    <w:rsid w:val="00D03AE2"/>
    <w:rPr>
      <w:sz w:val="28"/>
    </w:rPr>
  </w:style>
  <w:style w:type="paragraph" w:styleId="TOC1">
    <w:name w:val="toc 1"/>
    <w:basedOn w:val="Normal"/>
    <w:next w:val="Normal"/>
    <w:autoRedefine/>
    <w:uiPriority w:val="39"/>
    <w:unhideWhenUsed/>
    <w:rsid w:val="004755A2"/>
    <w:pPr>
      <w:tabs>
        <w:tab w:val="right" w:leader="dot" w:pos="9072"/>
      </w:tabs>
      <w:spacing w:before="120" w:after="0"/>
    </w:pPr>
    <w:rPr>
      <w:b/>
      <w:sz w:val="24"/>
    </w:rPr>
  </w:style>
  <w:style w:type="paragraph" w:styleId="TOC2">
    <w:name w:val="toc 2"/>
    <w:basedOn w:val="Normal"/>
    <w:next w:val="Normal"/>
    <w:autoRedefine/>
    <w:uiPriority w:val="39"/>
    <w:unhideWhenUsed/>
    <w:rsid w:val="00705B86"/>
    <w:pPr>
      <w:tabs>
        <w:tab w:val="right" w:leader="dot" w:pos="9072"/>
      </w:tabs>
      <w:spacing w:after="0"/>
      <w:ind w:left="567"/>
    </w:pPr>
  </w:style>
  <w:style w:type="paragraph" w:styleId="TOC3">
    <w:name w:val="toc 3"/>
    <w:basedOn w:val="Normal"/>
    <w:next w:val="Normal"/>
    <w:autoRedefine/>
    <w:uiPriority w:val="39"/>
    <w:unhideWhenUsed/>
    <w:rsid w:val="00705B86"/>
    <w:pPr>
      <w:tabs>
        <w:tab w:val="right" w:leader="dot" w:pos="9072"/>
      </w:tabs>
      <w:spacing w:after="0"/>
      <w:ind w:left="1134"/>
    </w:pPr>
  </w:style>
  <w:style w:type="paragraph" w:styleId="TOC4">
    <w:name w:val="toc 4"/>
    <w:basedOn w:val="Normal"/>
    <w:next w:val="Normal"/>
    <w:autoRedefine/>
    <w:uiPriority w:val="39"/>
    <w:unhideWhenUsed/>
    <w:rsid w:val="00705B86"/>
    <w:pPr>
      <w:tabs>
        <w:tab w:val="right" w:leader="dot" w:pos="9072"/>
      </w:tabs>
      <w:spacing w:after="0"/>
    </w:pPr>
  </w:style>
  <w:style w:type="paragraph" w:customStyle="1" w:styleId="Sourcenote">
    <w:name w:val="Source / note"/>
    <w:basedOn w:val="Normal"/>
    <w:next w:val="Normal"/>
    <w:qFormat/>
    <w:rsid w:val="00C16794"/>
    <w:rPr>
      <w:sz w:val="20"/>
      <w:szCs w:val="20"/>
    </w:rPr>
  </w:style>
  <w:style w:type="paragraph" w:styleId="ListParagraph">
    <w:name w:val="List Paragraph"/>
    <w:basedOn w:val="Normal"/>
    <w:uiPriority w:val="34"/>
    <w:qFormat/>
    <w:rsid w:val="00C16794"/>
    <w:pPr>
      <w:numPr>
        <w:numId w:val="3"/>
      </w:numPr>
      <w:ind w:left="567" w:hanging="567"/>
      <w:contextualSpacing/>
    </w:pPr>
  </w:style>
  <w:style w:type="paragraph" w:styleId="FootnoteText">
    <w:name w:val="footnote text"/>
    <w:basedOn w:val="Normal"/>
    <w:link w:val="FootnoteTextChar"/>
    <w:uiPriority w:val="99"/>
    <w:semiHidden/>
    <w:unhideWhenUsed/>
    <w:rsid w:val="003B5B1D"/>
    <w:pPr>
      <w:spacing w:after="0"/>
    </w:pPr>
    <w:rPr>
      <w:sz w:val="20"/>
      <w:szCs w:val="20"/>
    </w:rPr>
  </w:style>
  <w:style w:type="character" w:customStyle="1" w:styleId="FootnoteTextChar">
    <w:name w:val="Footnote Text Char"/>
    <w:basedOn w:val="DefaultParagraphFont"/>
    <w:link w:val="FootnoteText"/>
    <w:uiPriority w:val="99"/>
    <w:semiHidden/>
    <w:rsid w:val="003B5B1D"/>
    <w:rPr>
      <w:sz w:val="20"/>
      <w:szCs w:val="20"/>
    </w:rPr>
  </w:style>
  <w:style w:type="character" w:styleId="FootnoteReference">
    <w:name w:val="footnote reference"/>
    <w:basedOn w:val="DefaultParagraphFont"/>
    <w:uiPriority w:val="99"/>
    <w:semiHidden/>
    <w:unhideWhenUsed/>
    <w:rsid w:val="003B5B1D"/>
    <w:rPr>
      <w:vertAlign w:val="superscript"/>
    </w:rPr>
  </w:style>
  <w:style w:type="character" w:customStyle="1" w:styleId="superscriptfootnotereference">
    <w:name w:val="superscript footnote reference"/>
    <w:basedOn w:val="FootnoteReference"/>
    <w:uiPriority w:val="1"/>
    <w:qFormat/>
    <w:rsid w:val="003B5B1D"/>
    <w:rPr>
      <w:vertAlign w:val="superscript"/>
    </w:rPr>
  </w:style>
  <w:style w:type="paragraph" w:styleId="BalloonText">
    <w:name w:val="Balloon Text"/>
    <w:basedOn w:val="Normal"/>
    <w:link w:val="BalloonTextChar"/>
    <w:uiPriority w:val="99"/>
    <w:semiHidden/>
    <w:unhideWhenUsed/>
    <w:rsid w:val="00937283"/>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937283"/>
    <w:rPr>
      <w:rFonts w:ascii="Tahoma" w:hAnsi="Tahoma" w:cs="Tahoma"/>
      <w:sz w:val="16"/>
      <w:szCs w:val="16"/>
    </w:rPr>
  </w:style>
  <w:style w:type="character" w:styleId="CommentReference">
    <w:name w:val="annotation reference"/>
    <w:basedOn w:val="DefaultParagraphFont"/>
    <w:uiPriority w:val="99"/>
    <w:semiHidden/>
    <w:unhideWhenUsed/>
    <w:rsid w:val="004A0604"/>
    <w:rPr>
      <w:sz w:val="16"/>
      <w:szCs w:val="16"/>
    </w:rPr>
  </w:style>
  <w:style w:type="paragraph" w:styleId="CommentText">
    <w:name w:val="annotation text"/>
    <w:basedOn w:val="Normal"/>
    <w:link w:val="CommentTextChar"/>
    <w:uiPriority w:val="99"/>
    <w:unhideWhenUsed/>
    <w:rsid w:val="004A0604"/>
    <w:rPr>
      <w:sz w:val="20"/>
      <w:szCs w:val="20"/>
    </w:rPr>
  </w:style>
  <w:style w:type="character" w:customStyle="1" w:styleId="CommentTextChar">
    <w:name w:val="Comment Text Char"/>
    <w:basedOn w:val="DefaultParagraphFont"/>
    <w:link w:val="CommentText"/>
    <w:uiPriority w:val="99"/>
    <w:rsid w:val="004A0604"/>
    <w:rPr>
      <w:sz w:val="20"/>
      <w:szCs w:val="20"/>
    </w:rPr>
  </w:style>
  <w:style w:type="paragraph" w:styleId="CommentSubject">
    <w:name w:val="annotation subject"/>
    <w:basedOn w:val="CommentText"/>
    <w:next w:val="CommentText"/>
    <w:link w:val="CommentSubjectChar"/>
    <w:uiPriority w:val="99"/>
    <w:semiHidden/>
    <w:unhideWhenUsed/>
    <w:rsid w:val="004A0604"/>
    <w:rPr>
      <w:b/>
      <w:bCs/>
    </w:rPr>
  </w:style>
  <w:style w:type="character" w:customStyle="1" w:styleId="CommentSubjectChar">
    <w:name w:val="Comment Subject Char"/>
    <w:basedOn w:val="CommentTextChar"/>
    <w:link w:val="CommentSubject"/>
    <w:uiPriority w:val="99"/>
    <w:semiHidden/>
    <w:rsid w:val="004A060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63734609">
      <w:bodyDiv w:val="1"/>
      <w:marLeft w:val="0"/>
      <w:marRight w:val="0"/>
      <w:marTop w:val="0"/>
      <w:marBottom w:val="0"/>
      <w:divBdr>
        <w:top w:val="none" w:sz="0" w:space="0" w:color="auto"/>
        <w:left w:val="none" w:sz="0" w:space="0" w:color="auto"/>
        <w:bottom w:val="none" w:sz="0" w:space="0" w:color="auto"/>
        <w:right w:val="none" w:sz="0" w:space="0" w:color="auto"/>
      </w:divBdr>
    </w:div>
    <w:div w:id="1155297785">
      <w:bodyDiv w:val="1"/>
      <w:marLeft w:val="0"/>
      <w:marRight w:val="0"/>
      <w:marTop w:val="0"/>
      <w:marBottom w:val="0"/>
      <w:divBdr>
        <w:top w:val="none" w:sz="0" w:space="0" w:color="auto"/>
        <w:left w:val="none" w:sz="0" w:space="0" w:color="auto"/>
        <w:bottom w:val="none" w:sz="0" w:space="0" w:color="auto"/>
        <w:right w:val="none" w:sz="0" w:space="0" w:color="auto"/>
      </w:divBdr>
    </w:div>
    <w:div w:id="1632596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hart" Target="charts/chart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chart" Target="charts/chart2.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cid:image001.png@01D8701A.460DF4D0" TargetMode="External"/><Relationship Id="rId14" Type="http://schemas.openxmlformats.org/officeDocument/2006/relationships/chart" Target="charts/chart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charts/_rels/chart1.xml.rels><?xml version="1.0" encoding="UTF-8" standalone="yes"?>
<Relationships xmlns="http://schemas.openxmlformats.org/package/2006/relationships"><Relationship Id="rId3" Type="http://schemas.openxmlformats.org/officeDocument/2006/relationships/oleObject" Target="file:///\\adminsrvad.sa.gov.au\DfsRoot\DataDPC\ArtsSA\ABS\Cultural%20Funding%20Collections\2023-24\Publication\Working\8%20-%20ACT\ACT-analysis-23-24.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corp\absdfs\workgroup\NCE&amp;T\SURVEYS\Culture\Cultural%20Funding%20by%20Governments%20Survey\2023-24%20Survey\1.%20Working%20files\8%20-%20ACT\ACT-analysis-23-24.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corp\absdfs\workgroup\NCE&amp;T\SURVEYS\Culture\Cultural%20Funding%20by%20Governments%20Survey\2023-24%20Survey\1.%20Working%20files\8%20-%20ACT\ACT-analysis-23-24.xlsx" TargetMode="External"/><Relationship Id="rId2" Type="http://schemas.microsoft.com/office/2011/relationships/chartColorStyle" Target="colors3.xml"/><Relationship Id="rId1" Type="http://schemas.microsoft.com/office/2011/relationships/chartStyle" Target="style3.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6.6488582131117108E-2"/>
          <c:y val="0.11547344110854503"/>
          <c:w val="0.90299824172463883"/>
          <c:h val="0.7272128166427233"/>
        </c:manualLayout>
      </c:layout>
      <c:barChart>
        <c:barDir val="col"/>
        <c:grouping val="clustered"/>
        <c:varyColors val="0"/>
        <c:ser>
          <c:idx val="0"/>
          <c:order val="0"/>
          <c:tx>
            <c:strRef>
              <c:f>Working!$B$39</c:f>
              <c:strCache>
                <c:ptCount val="1"/>
                <c:pt idx="0">
                  <c:v>2020-21</c:v>
                </c:pt>
              </c:strCache>
            </c:strRef>
          </c:tx>
          <c:spPr>
            <a:solidFill>
              <a:srgbClr val="646464"/>
            </a:solidFill>
            <a:ln>
              <a:noFill/>
            </a:ln>
            <a:effectLst/>
          </c:spPr>
          <c:invertIfNegative val="0"/>
          <c:cat>
            <c:strRef>
              <c:f>Working!$A$40:$A$43</c:f>
              <c:strCache>
                <c:ptCount val="4"/>
                <c:pt idx="0">
                  <c:v>Art museums</c:v>
                </c:pt>
                <c:pt idx="1">
                  <c:v>Other museums &amp; cultural heritage</c:v>
                </c:pt>
                <c:pt idx="2">
                  <c:v>Libraries</c:v>
                </c:pt>
                <c:pt idx="3">
                  <c:v>Archives</c:v>
                </c:pt>
              </c:strCache>
            </c:strRef>
          </c:cat>
          <c:val>
            <c:numRef>
              <c:f>Working!$B$40:$B$43</c:f>
              <c:numCache>
                <c:formatCode>#,##0.0</c:formatCode>
                <c:ptCount val="4"/>
                <c:pt idx="0">
                  <c:v>5.5</c:v>
                </c:pt>
                <c:pt idx="1">
                  <c:v>8.1</c:v>
                </c:pt>
                <c:pt idx="2">
                  <c:v>21.4</c:v>
                </c:pt>
                <c:pt idx="3">
                  <c:v>0.3</c:v>
                </c:pt>
              </c:numCache>
            </c:numRef>
          </c:val>
          <c:extLst>
            <c:ext xmlns:c16="http://schemas.microsoft.com/office/drawing/2014/chart" uri="{C3380CC4-5D6E-409C-BE32-E72D297353CC}">
              <c16:uniqueId val="{00000000-5E33-4052-883B-994C69435CD8}"/>
            </c:ext>
          </c:extLst>
        </c:ser>
        <c:ser>
          <c:idx val="1"/>
          <c:order val="1"/>
          <c:tx>
            <c:strRef>
              <c:f>Working!$C$39</c:f>
              <c:strCache>
                <c:ptCount val="1"/>
                <c:pt idx="0">
                  <c:v>2021-22</c:v>
                </c:pt>
              </c:strCache>
            </c:strRef>
          </c:tx>
          <c:spPr>
            <a:solidFill>
              <a:srgbClr val="0F293A"/>
            </a:solidFill>
            <a:ln>
              <a:noFill/>
            </a:ln>
            <a:effectLst/>
          </c:spPr>
          <c:invertIfNegative val="0"/>
          <c:cat>
            <c:strRef>
              <c:f>Working!$A$40:$A$43</c:f>
              <c:strCache>
                <c:ptCount val="4"/>
                <c:pt idx="0">
                  <c:v>Art museums</c:v>
                </c:pt>
                <c:pt idx="1">
                  <c:v>Other museums &amp; cultural heritage</c:v>
                </c:pt>
                <c:pt idx="2">
                  <c:v>Libraries</c:v>
                </c:pt>
                <c:pt idx="3">
                  <c:v>Archives</c:v>
                </c:pt>
              </c:strCache>
            </c:strRef>
          </c:cat>
          <c:val>
            <c:numRef>
              <c:f>Working!$C$40:$C$43</c:f>
              <c:numCache>
                <c:formatCode>#,##0.0</c:formatCode>
                <c:ptCount val="4"/>
                <c:pt idx="0">
                  <c:v>4.9000000000000004</c:v>
                </c:pt>
                <c:pt idx="1">
                  <c:v>20.399999999999999</c:v>
                </c:pt>
                <c:pt idx="2">
                  <c:v>17</c:v>
                </c:pt>
                <c:pt idx="3">
                  <c:v>0.3</c:v>
                </c:pt>
              </c:numCache>
            </c:numRef>
          </c:val>
          <c:extLst>
            <c:ext xmlns:c16="http://schemas.microsoft.com/office/drawing/2014/chart" uri="{C3380CC4-5D6E-409C-BE32-E72D297353CC}">
              <c16:uniqueId val="{00000001-5E33-4052-883B-994C69435CD8}"/>
            </c:ext>
          </c:extLst>
        </c:ser>
        <c:ser>
          <c:idx val="2"/>
          <c:order val="2"/>
          <c:tx>
            <c:strRef>
              <c:f>Working!$D$39</c:f>
              <c:strCache>
                <c:ptCount val="1"/>
                <c:pt idx="0">
                  <c:v>2023-24</c:v>
                </c:pt>
              </c:strCache>
            </c:strRef>
          </c:tx>
          <c:spPr>
            <a:solidFill>
              <a:srgbClr val="513AC4"/>
            </a:solidFill>
            <a:ln>
              <a:noFill/>
            </a:ln>
            <a:effectLst/>
          </c:spPr>
          <c:invertIfNegative val="0"/>
          <c:cat>
            <c:strRef>
              <c:f>Working!$A$40:$A$43</c:f>
              <c:strCache>
                <c:ptCount val="4"/>
                <c:pt idx="0">
                  <c:v>Art museums</c:v>
                </c:pt>
                <c:pt idx="1">
                  <c:v>Other museums &amp; cultural heritage</c:v>
                </c:pt>
                <c:pt idx="2">
                  <c:v>Libraries</c:v>
                </c:pt>
                <c:pt idx="3">
                  <c:v>Archives</c:v>
                </c:pt>
              </c:strCache>
            </c:strRef>
          </c:cat>
          <c:val>
            <c:numRef>
              <c:f>Working!$D$40:$D$43</c:f>
              <c:numCache>
                <c:formatCode>#,##0.0</c:formatCode>
                <c:ptCount val="4"/>
                <c:pt idx="0">
                  <c:v>5.1949999999999994</c:v>
                </c:pt>
                <c:pt idx="1">
                  <c:v>20.227</c:v>
                </c:pt>
                <c:pt idx="2">
                  <c:v>17.603000000000002</c:v>
                </c:pt>
                <c:pt idx="3">
                  <c:v>4.4090000000000007</c:v>
                </c:pt>
              </c:numCache>
            </c:numRef>
          </c:val>
          <c:extLst>
            <c:ext xmlns:c16="http://schemas.microsoft.com/office/drawing/2014/chart" uri="{C3380CC4-5D6E-409C-BE32-E72D297353CC}">
              <c16:uniqueId val="{00000002-5E33-4052-883B-994C69435CD8}"/>
            </c:ext>
          </c:extLst>
        </c:ser>
        <c:dLbls>
          <c:showLegendKey val="0"/>
          <c:showVal val="0"/>
          <c:showCatName val="0"/>
          <c:showSerName val="0"/>
          <c:showPercent val="0"/>
          <c:showBubbleSize val="0"/>
        </c:dLbls>
        <c:gapWidth val="100"/>
        <c:overlap val="-10"/>
        <c:axId val="999115784"/>
        <c:axId val="999117224"/>
      </c:barChart>
      <c:catAx>
        <c:axId val="999115784"/>
        <c:scaling>
          <c:orientation val="minMax"/>
        </c:scaling>
        <c:delete val="0"/>
        <c:axPos val="b"/>
        <c:numFmt formatCode="General" sourceLinked="1"/>
        <c:majorTickMark val="none"/>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800" b="0" i="0" u="none" strike="noStrike" kern="1200" baseline="0">
                <a:solidFill>
                  <a:schemeClr val="tx1"/>
                </a:solidFill>
                <a:latin typeface="+mn-lt"/>
                <a:ea typeface="+mn-ea"/>
                <a:cs typeface="+mn-cs"/>
              </a:defRPr>
            </a:pPr>
            <a:endParaRPr lang="en-US"/>
          </a:p>
        </c:txPr>
        <c:crossAx val="999117224"/>
        <c:crosses val="autoZero"/>
        <c:auto val="1"/>
        <c:lblAlgn val="ctr"/>
        <c:lblOffset val="100"/>
        <c:noMultiLvlLbl val="0"/>
      </c:catAx>
      <c:valAx>
        <c:axId val="999117224"/>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0" spcFirstLastPara="1" vertOverflow="ellipsis" wrap="square" anchor="ctr" anchorCtr="1"/>
              <a:lstStyle/>
              <a:p>
                <a:pPr>
                  <a:defRPr sz="800" b="0" i="0" u="none" strike="noStrike" kern="1200" baseline="0">
                    <a:solidFill>
                      <a:schemeClr val="tx1"/>
                    </a:solidFill>
                    <a:latin typeface="+mn-lt"/>
                    <a:ea typeface="+mn-ea"/>
                    <a:cs typeface="+mn-cs"/>
                  </a:defRPr>
                </a:pPr>
                <a:r>
                  <a:rPr lang="en-AU" sz="800">
                    <a:solidFill>
                      <a:schemeClr val="tx1"/>
                    </a:solidFill>
                  </a:rPr>
                  <a:t> $m</a:t>
                </a:r>
              </a:p>
            </c:rich>
          </c:tx>
          <c:layout>
            <c:manualLayout>
              <c:xMode val="edge"/>
              <c:yMode val="edge"/>
              <c:x val="5.0457253965264749E-3"/>
              <c:y val="7.2091796839482821E-3"/>
            </c:manualLayout>
          </c:layout>
          <c:overlay val="0"/>
          <c:spPr>
            <a:noFill/>
            <a:ln>
              <a:noFill/>
            </a:ln>
            <a:effectLst/>
          </c:spPr>
          <c:txPr>
            <a:bodyPr rot="0" spcFirstLastPara="1" vertOverflow="ellipsis" wrap="square" anchor="ctr" anchorCtr="1"/>
            <a:lstStyle/>
            <a:p>
              <a:pPr>
                <a:defRPr sz="800" b="0" i="0" u="none" strike="noStrike" kern="1200" baseline="0">
                  <a:solidFill>
                    <a:schemeClr val="tx1"/>
                  </a:solidFill>
                  <a:latin typeface="+mn-lt"/>
                  <a:ea typeface="+mn-ea"/>
                  <a:cs typeface="+mn-cs"/>
                </a:defRPr>
              </a:pPr>
              <a:endParaRPr lang="en-US"/>
            </a:p>
          </c:txPr>
        </c:title>
        <c:numFmt formatCode="#,##0" sourceLinked="0"/>
        <c:majorTickMark val="none"/>
        <c:minorTickMark val="none"/>
        <c:tickLblPos val="nextTo"/>
        <c:spPr>
          <a:noFill/>
          <a:ln>
            <a:solidFill>
              <a:schemeClr val="tx1"/>
            </a:solidFill>
          </a:ln>
          <a:effectLst/>
        </c:spPr>
        <c:txPr>
          <a:bodyPr rot="-60000000" spcFirstLastPara="1" vertOverflow="ellipsis" vert="horz" wrap="square" anchor="ctr" anchorCtr="1"/>
          <a:lstStyle/>
          <a:p>
            <a:pPr>
              <a:defRPr sz="800" b="0" i="0" u="none" strike="noStrike" kern="1200" baseline="0">
                <a:solidFill>
                  <a:schemeClr val="tx1"/>
                </a:solidFill>
                <a:latin typeface="+mn-lt"/>
                <a:ea typeface="+mn-ea"/>
                <a:cs typeface="+mn-cs"/>
              </a:defRPr>
            </a:pPr>
            <a:endParaRPr lang="en-US"/>
          </a:p>
        </c:txPr>
        <c:crossAx val="999115784"/>
        <c:crosses val="autoZero"/>
        <c:crossBetween val="between"/>
      </c:valAx>
      <c:spPr>
        <a:noFill/>
        <a:ln>
          <a:noFill/>
        </a:ln>
        <a:effectLst/>
      </c:spPr>
    </c:plotArea>
    <c:legend>
      <c:legendPos val="b"/>
      <c:layout>
        <c:manualLayout>
          <c:xMode val="edge"/>
          <c:yMode val="edge"/>
          <c:x val="0.81885647129329842"/>
          <c:y val="6.4013295915865187E-2"/>
          <c:w val="0.13606386099052872"/>
          <c:h val="0.17472495499263518"/>
        </c:manualLayout>
      </c:layout>
      <c:overlay val="0"/>
      <c:spPr>
        <a:noFill/>
        <a:ln>
          <a:noFill/>
        </a:ln>
        <a:effectLst/>
      </c:spPr>
      <c:txPr>
        <a:bodyPr rot="0" spcFirstLastPara="1" vertOverflow="ellipsis" vert="horz" wrap="square" anchor="ctr" anchorCtr="1"/>
        <a:lstStyle/>
        <a:p>
          <a:pPr>
            <a:defRPr sz="800" b="0" i="0" u="none" strike="noStrike" kern="1200" baseline="0">
              <a:solidFill>
                <a:sysClr val="windowText" lastClr="000000"/>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5.1025349578993261E-2"/>
          <c:y val="0.12009237875288684"/>
          <c:w val="0.92555791585363212"/>
          <c:h val="0.68571148006037341"/>
        </c:manualLayout>
      </c:layout>
      <c:barChart>
        <c:barDir val="col"/>
        <c:grouping val="clustered"/>
        <c:varyColors val="0"/>
        <c:ser>
          <c:idx val="0"/>
          <c:order val="0"/>
          <c:tx>
            <c:strRef>
              <c:f>Working!$B$48</c:f>
              <c:strCache>
                <c:ptCount val="1"/>
                <c:pt idx="0">
                  <c:v>2020-21</c:v>
                </c:pt>
              </c:strCache>
            </c:strRef>
          </c:tx>
          <c:spPr>
            <a:solidFill>
              <a:srgbClr val="646464"/>
            </a:solidFill>
            <a:ln>
              <a:noFill/>
            </a:ln>
            <a:effectLst/>
          </c:spPr>
          <c:invertIfNegative val="0"/>
          <c:cat>
            <c:strRef>
              <c:f>Working!$A$49:$A$54</c:f>
              <c:strCache>
                <c:ptCount val="6"/>
                <c:pt idx="0">
                  <c:v>Performing arts venues</c:v>
                </c:pt>
                <c:pt idx="1">
                  <c:v>Visual arts &amp; crafts</c:v>
                </c:pt>
                <c:pt idx="2">
                  <c:v>Design</c:v>
                </c:pt>
                <c:pt idx="3">
                  <c:v>Community arts &amp; cultural development</c:v>
                </c:pt>
                <c:pt idx="4">
                  <c:v>Multi-arts festivals</c:v>
                </c:pt>
                <c:pt idx="5">
                  <c:v>Arts administration</c:v>
                </c:pt>
              </c:strCache>
            </c:strRef>
          </c:cat>
          <c:val>
            <c:numRef>
              <c:f>Working!$B$49:$B$54</c:f>
              <c:numCache>
                <c:formatCode>#,##0.0</c:formatCode>
                <c:ptCount val="6"/>
                <c:pt idx="0">
                  <c:v>17</c:v>
                </c:pt>
                <c:pt idx="1">
                  <c:v>3</c:v>
                </c:pt>
                <c:pt idx="2">
                  <c:v>0.8</c:v>
                </c:pt>
                <c:pt idx="3">
                  <c:v>2.4</c:v>
                </c:pt>
                <c:pt idx="4">
                  <c:v>1.2</c:v>
                </c:pt>
                <c:pt idx="5">
                  <c:v>2.5</c:v>
                </c:pt>
              </c:numCache>
            </c:numRef>
          </c:val>
          <c:extLst>
            <c:ext xmlns:c16="http://schemas.microsoft.com/office/drawing/2014/chart" uri="{C3380CC4-5D6E-409C-BE32-E72D297353CC}">
              <c16:uniqueId val="{00000000-11A2-4D83-9A8E-8F29ABF20950}"/>
            </c:ext>
          </c:extLst>
        </c:ser>
        <c:ser>
          <c:idx val="1"/>
          <c:order val="1"/>
          <c:tx>
            <c:strRef>
              <c:f>Working!$C$48</c:f>
              <c:strCache>
                <c:ptCount val="1"/>
                <c:pt idx="0">
                  <c:v>2021-22</c:v>
                </c:pt>
              </c:strCache>
            </c:strRef>
          </c:tx>
          <c:spPr>
            <a:solidFill>
              <a:srgbClr val="0F293A"/>
            </a:solidFill>
            <a:ln>
              <a:noFill/>
            </a:ln>
            <a:effectLst/>
          </c:spPr>
          <c:invertIfNegative val="0"/>
          <c:cat>
            <c:strRef>
              <c:f>Working!$A$49:$A$54</c:f>
              <c:strCache>
                <c:ptCount val="6"/>
                <c:pt idx="0">
                  <c:v>Performing arts venues</c:v>
                </c:pt>
                <c:pt idx="1">
                  <c:v>Visual arts &amp; crafts</c:v>
                </c:pt>
                <c:pt idx="2">
                  <c:v>Design</c:v>
                </c:pt>
                <c:pt idx="3">
                  <c:v>Community arts &amp; cultural development</c:v>
                </c:pt>
                <c:pt idx="4">
                  <c:v>Multi-arts festivals</c:v>
                </c:pt>
                <c:pt idx="5">
                  <c:v>Arts administration</c:v>
                </c:pt>
              </c:strCache>
            </c:strRef>
          </c:cat>
          <c:val>
            <c:numRef>
              <c:f>Working!$C$49:$C$54</c:f>
              <c:numCache>
                <c:formatCode>#,##0.0</c:formatCode>
                <c:ptCount val="6"/>
                <c:pt idx="0">
                  <c:v>17.399999999999999</c:v>
                </c:pt>
                <c:pt idx="1">
                  <c:v>3.4</c:v>
                </c:pt>
                <c:pt idx="2">
                  <c:v>0.4</c:v>
                </c:pt>
                <c:pt idx="3">
                  <c:v>2.1</c:v>
                </c:pt>
                <c:pt idx="4">
                  <c:v>1.6</c:v>
                </c:pt>
                <c:pt idx="5">
                  <c:v>1.8</c:v>
                </c:pt>
              </c:numCache>
            </c:numRef>
          </c:val>
          <c:extLst>
            <c:ext xmlns:c16="http://schemas.microsoft.com/office/drawing/2014/chart" uri="{C3380CC4-5D6E-409C-BE32-E72D297353CC}">
              <c16:uniqueId val="{00000001-11A2-4D83-9A8E-8F29ABF20950}"/>
            </c:ext>
          </c:extLst>
        </c:ser>
        <c:ser>
          <c:idx val="2"/>
          <c:order val="2"/>
          <c:tx>
            <c:strRef>
              <c:f>Working!$D$48</c:f>
              <c:strCache>
                <c:ptCount val="1"/>
                <c:pt idx="0">
                  <c:v>2023-24</c:v>
                </c:pt>
              </c:strCache>
            </c:strRef>
          </c:tx>
          <c:spPr>
            <a:solidFill>
              <a:srgbClr val="513AC4"/>
            </a:solidFill>
            <a:ln>
              <a:noFill/>
            </a:ln>
            <a:effectLst/>
          </c:spPr>
          <c:invertIfNegative val="0"/>
          <c:cat>
            <c:strRef>
              <c:f>Working!$A$49:$A$54</c:f>
              <c:strCache>
                <c:ptCount val="6"/>
                <c:pt idx="0">
                  <c:v>Performing arts venues</c:v>
                </c:pt>
                <c:pt idx="1">
                  <c:v>Visual arts &amp; crafts</c:v>
                </c:pt>
                <c:pt idx="2">
                  <c:v>Design</c:v>
                </c:pt>
                <c:pt idx="3">
                  <c:v>Community arts &amp; cultural development</c:v>
                </c:pt>
                <c:pt idx="4">
                  <c:v>Multi-arts festivals</c:v>
                </c:pt>
                <c:pt idx="5">
                  <c:v>Arts administration</c:v>
                </c:pt>
              </c:strCache>
            </c:strRef>
          </c:cat>
          <c:val>
            <c:numRef>
              <c:f>Working!$D$49:$D$54</c:f>
              <c:numCache>
                <c:formatCode>#,##0.0</c:formatCode>
                <c:ptCount val="6"/>
                <c:pt idx="0">
                  <c:v>20.406000000000002</c:v>
                </c:pt>
                <c:pt idx="1">
                  <c:v>3.2310000000000003</c:v>
                </c:pt>
                <c:pt idx="2">
                  <c:v>2.4830000000000001</c:v>
                </c:pt>
                <c:pt idx="3">
                  <c:v>6.4960000000000004</c:v>
                </c:pt>
                <c:pt idx="4">
                  <c:v>3.036</c:v>
                </c:pt>
                <c:pt idx="5">
                  <c:v>3.1970000000000001</c:v>
                </c:pt>
              </c:numCache>
            </c:numRef>
          </c:val>
          <c:extLst>
            <c:ext xmlns:c16="http://schemas.microsoft.com/office/drawing/2014/chart" uri="{C3380CC4-5D6E-409C-BE32-E72D297353CC}">
              <c16:uniqueId val="{00000002-11A2-4D83-9A8E-8F29ABF20950}"/>
            </c:ext>
          </c:extLst>
        </c:ser>
        <c:dLbls>
          <c:showLegendKey val="0"/>
          <c:showVal val="0"/>
          <c:showCatName val="0"/>
          <c:showSerName val="0"/>
          <c:showPercent val="0"/>
          <c:showBubbleSize val="0"/>
        </c:dLbls>
        <c:gapWidth val="100"/>
        <c:overlap val="-10"/>
        <c:axId val="1029324664"/>
        <c:axId val="1029330424"/>
      </c:barChart>
      <c:catAx>
        <c:axId val="1029324664"/>
        <c:scaling>
          <c:orientation val="minMax"/>
        </c:scaling>
        <c:delete val="0"/>
        <c:axPos val="b"/>
        <c:numFmt formatCode="General" sourceLinked="1"/>
        <c:majorTickMark val="none"/>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800" b="0" i="0" u="none" strike="noStrike" kern="1200" baseline="0">
                <a:solidFill>
                  <a:schemeClr val="tx1"/>
                </a:solidFill>
                <a:latin typeface="+mn-lt"/>
                <a:ea typeface="+mn-ea"/>
                <a:cs typeface="+mn-cs"/>
              </a:defRPr>
            </a:pPr>
            <a:endParaRPr lang="en-US"/>
          </a:p>
        </c:txPr>
        <c:crossAx val="1029330424"/>
        <c:crosses val="autoZero"/>
        <c:auto val="1"/>
        <c:lblAlgn val="ctr"/>
        <c:lblOffset val="100"/>
        <c:noMultiLvlLbl val="0"/>
      </c:catAx>
      <c:valAx>
        <c:axId val="1029330424"/>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0" spcFirstLastPara="1" vertOverflow="ellipsis" wrap="square" anchor="ctr" anchorCtr="1"/>
              <a:lstStyle/>
              <a:p>
                <a:pPr>
                  <a:defRPr sz="800" b="0" i="0" u="none" strike="noStrike" kern="1200" baseline="0">
                    <a:solidFill>
                      <a:sysClr val="windowText" lastClr="000000"/>
                    </a:solidFill>
                    <a:latin typeface="+mn-lt"/>
                    <a:ea typeface="+mn-ea"/>
                    <a:cs typeface="+mn-cs"/>
                  </a:defRPr>
                </a:pPr>
                <a:r>
                  <a:rPr lang="en-AU" sz="800">
                    <a:solidFill>
                      <a:sysClr val="windowText" lastClr="000000"/>
                    </a:solidFill>
                  </a:rPr>
                  <a:t>$m</a:t>
                </a:r>
              </a:p>
            </c:rich>
          </c:tx>
          <c:layout>
            <c:manualLayout>
              <c:xMode val="edge"/>
              <c:yMode val="edge"/>
              <c:x val="6.3863821547385192E-3"/>
              <c:y val="1.6747104071575328E-2"/>
            </c:manualLayout>
          </c:layout>
          <c:overlay val="0"/>
          <c:spPr>
            <a:noFill/>
            <a:ln>
              <a:noFill/>
            </a:ln>
            <a:effectLst/>
          </c:spPr>
          <c:txPr>
            <a:bodyPr rot="0" spcFirstLastPara="1" vertOverflow="ellipsis" wrap="square" anchor="ctr" anchorCtr="1"/>
            <a:lstStyle/>
            <a:p>
              <a:pPr>
                <a:defRPr sz="800" b="0" i="0" u="none" strike="noStrike" kern="1200" baseline="0">
                  <a:solidFill>
                    <a:sysClr val="windowText" lastClr="000000"/>
                  </a:solidFill>
                  <a:latin typeface="+mn-lt"/>
                  <a:ea typeface="+mn-ea"/>
                  <a:cs typeface="+mn-cs"/>
                </a:defRPr>
              </a:pPr>
              <a:endParaRPr lang="en-US"/>
            </a:p>
          </c:txPr>
        </c:title>
        <c:numFmt formatCode="#,##0" sourceLinked="0"/>
        <c:majorTickMark val="none"/>
        <c:minorTickMark val="none"/>
        <c:tickLblPos val="nextTo"/>
        <c:spPr>
          <a:noFill/>
          <a:ln>
            <a:solidFill>
              <a:schemeClr val="tx1"/>
            </a:solidFill>
          </a:ln>
          <a:effectLst/>
        </c:spPr>
        <c:txPr>
          <a:bodyPr rot="-60000000" spcFirstLastPara="1" vertOverflow="ellipsis" vert="horz" wrap="square" anchor="ctr" anchorCtr="1"/>
          <a:lstStyle/>
          <a:p>
            <a:pPr>
              <a:defRPr sz="800" b="0" i="0" u="none" strike="noStrike" kern="1200" baseline="0">
                <a:solidFill>
                  <a:schemeClr val="tx1"/>
                </a:solidFill>
                <a:latin typeface="+mn-lt"/>
                <a:ea typeface="+mn-ea"/>
                <a:cs typeface="+mn-cs"/>
              </a:defRPr>
            </a:pPr>
            <a:endParaRPr lang="en-US"/>
          </a:p>
        </c:txPr>
        <c:crossAx val="1029324664"/>
        <c:crosses val="autoZero"/>
        <c:crossBetween val="between"/>
      </c:valAx>
      <c:spPr>
        <a:noFill/>
        <a:ln>
          <a:noFill/>
        </a:ln>
        <a:effectLst/>
      </c:spPr>
    </c:plotArea>
    <c:legend>
      <c:legendPos val="b"/>
      <c:layout>
        <c:manualLayout>
          <c:xMode val="edge"/>
          <c:yMode val="edge"/>
          <c:x val="0.82144178360087694"/>
          <c:y val="5.369460457165718E-2"/>
          <c:w val="0.12986850590002813"/>
          <c:h val="0.19803749704497101"/>
        </c:manualLayout>
      </c:layout>
      <c:overlay val="0"/>
      <c:spPr>
        <a:noFill/>
        <a:ln>
          <a:noFill/>
        </a:ln>
        <a:effectLst/>
      </c:spPr>
      <c:txPr>
        <a:bodyPr rot="0" spcFirstLastPara="1" vertOverflow="ellipsis" vert="horz" wrap="square" anchor="ctr" anchorCtr="1"/>
        <a:lstStyle/>
        <a:p>
          <a:pPr>
            <a:defRPr sz="800" b="0" i="0" u="none" strike="noStrike" kern="1200" baseline="0">
              <a:solidFill>
                <a:sysClr val="windowText" lastClr="000000"/>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29177999409922595"/>
          <c:y val="5.0808314087759814E-2"/>
          <c:w val="0.67009850750894051"/>
          <c:h val="0.84738324127394538"/>
        </c:manualLayout>
      </c:layout>
      <c:barChart>
        <c:barDir val="bar"/>
        <c:grouping val="clustered"/>
        <c:varyColors val="0"/>
        <c:ser>
          <c:idx val="0"/>
          <c:order val="0"/>
          <c:tx>
            <c:strRef>
              <c:f>Working!$B$60</c:f>
              <c:strCache>
                <c:ptCount val="1"/>
                <c:pt idx="0">
                  <c:v>2023-24</c:v>
                </c:pt>
              </c:strCache>
            </c:strRef>
          </c:tx>
          <c:spPr>
            <a:solidFill>
              <a:srgbClr val="513AC4"/>
            </a:solidFill>
            <a:ln>
              <a:noFill/>
            </a:ln>
            <a:effectLst/>
          </c:spPr>
          <c:invertIfNegative val="0"/>
          <c:cat>
            <c:strRef>
              <c:f>(Working!$A$61,Working!$A$62,Working!$A$63,Working!$A$64,Working!$A$65,Working!$A$66,Working!$A$67,Working!$A$68,Working!$A$69)</c:f>
              <c:strCache>
                <c:ptCount val="9"/>
                <c:pt idx="0">
                  <c:v>Arts administration</c:v>
                </c:pt>
                <c:pt idx="1">
                  <c:v>Multi-arts festivals</c:v>
                </c:pt>
                <c:pt idx="2">
                  <c:v>Community arts &amp; cultural development</c:v>
                </c:pt>
                <c:pt idx="3">
                  <c:v>Visual arts &amp; crafts</c:v>
                </c:pt>
                <c:pt idx="4">
                  <c:v>Performing arts venues</c:v>
                </c:pt>
                <c:pt idx="5">
                  <c:v>Archives</c:v>
                </c:pt>
                <c:pt idx="6">
                  <c:v>Libraries</c:v>
                </c:pt>
                <c:pt idx="7">
                  <c:v>Other museums &amp; cultural heritage</c:v>
                </c:pt>
                <c:pt idx="8">
                  <c:v>Art museums</c:v>
                </c:pt>
              </c:strCache>
            </c:strRef>
          </c:cat>
          <c:val>
            <c:numRef>
              <c:f>Working!$B$61:$B$69</c:f>
              <c:numCache>
                <c:formatCode>#,##0.0</c:formatCode>
                <c:ptCount val="9"/>
                <c:pt idx="0">
                  <c:v>3.1970000000000001</c:v>
                </c:pt>
                <c:pt idx="1">
                  <c:v>3.036</c:v>
                </c:pt>
                <c:pt idx="2">
                  <c:v>6.4260000000000002</c:v>
                </c:pt>
                <c:pt idx="3">
                  <c:v>3.0190000000000001</c:v>
                </c:pt>
                <c:pt idx="4">
                  <c:v>19.292000000000002</c:v>
                </c:pt>
                <c:pt idx="5">
                  <c:v>4.4000000000000004</c:v>
                </c:pt>
                <c:pt idx="6">
                  <c:v>15.209</c:v>
                </c:pt>
                <c:pt idx="7">
                  <c:v>15.045999999999999</c:v>
                </c:pt>
                <c:pt idx="8">
                  <c:v>4.3179999999999996</c:v>
                </c:pt>
              </c:numCache>
            </c:numRef>
          </c:val>
          <c:extLst>
            <c:ext xmlns:c16="http://schemas.microsoft.com/office/drawing/2014/chart" uri="{C3380CC4-5D6E-409C-BE32-E72D297353CC}">
              <c16:uniqueId val="{00000000-41F1-4F8A-89B0-109DBEF16E3B}"/>
            </c:ext>
          </c:extLst>
        </c:ser>
        <c:ser>
          <c:idx val="1"/>
          <c:order val="1"/>
          <c:tx>
            <c:strRef>
              <c:f>Working!$C$60</c:f>
              <c:strCache>
                <c:ptCount val="1"/>
                <c:pt idx="0">
                  <c:v>2021-22</c:v>
                </c:pt>
              </c:strCache>
            </c:strRef>
          </c:tx>
          <c:spPr>
            <a:solidFill>
              <a:srgbClr val="0F293A"/>
            </a:solidFill>
            <a:ln>
              <a:noFill/>
            </a:ln>
            <a:effectLst/>
          </c:spPr>
          <c:invertIfNegative val="0"/>
          <c:cat>
            <c:strRef>
              <c:f>(Working!$A$61,Working!$A$62,Working!$A$63,Working!$A$64,Working!$A$65,Working!$A$66,Working!$A$67,Working!$A$68,Working!$A$69)</c:f>
              <c:strCache>
                <c:ptCount val="9"/>
                <c:pt idx="0">
                  <c:v>Arts administration</c:v>
                </c:pt>
                <c:pt idx="1">
                  <c:v>Multi-arts festivals</c:v>
                </c:pt>
                <c:pt idx="2">
                  <c:v>Community arts &amp; cultural development</c:v>
                </c:pt>
                <c:pt idx="3">
                  <c:v>Visual arts &amp; crafts</c:v>
                </c:pt>
                <c:pt idx="4">
                  <c:v>Performing arts venues</c:v>
                </c:pt>
                <c:pt idx="5">
                  <c:v>Archives</c:v>
                </c:pt>
                <c:pt idx="6">
                  <c:v>Libraries</c:v>
                </c:pt>
                <c:pt idx="7">
                  <c:v>Other museums &amp; cultural heritage</c:v>
                </c:pt>
                <c:pt idx="8">
                  <c:v>Art museums</c:v>
                </c:pt>
              </c:strCache>
            </c:strRef>
          </c:cat>
          <c:val>
            <c:numRef>
              <c:f>Working!$C$61:$C$69</c:f>
              <c:numCache>
                <c:formatCode>#,##0.0</c:formatCode>
                <c:ptCount val="9"/>
                <c:pt idx="0">
                  <c:v>1.8</c:v>
                </c:pt>
                <c:pt idx="1">
                  <c:v>1.6</c:v>
                </c:pt>
                <c:pt idx="2">
                  <c:v>2.1</c:v>
                </c:pt>
                <c:pt idx="3">
                  <c:v>3.3</c:v>
                </c:pt>
                <c:pt idx="4">
                  <c:v>16</c:v>
                </c:pt>
                <c:pt idx="5">
                  <c:v>0.3</c:v>
                </c:pt>
                <c:pt idx="6">
                  <c:v>14.8</c:v>
                </c:pt>
                <c:pt idx="7">
                  <c:v>19.899999999999999</c:v>
                </c:pt>
                <c:pt idx="8">
                  <c:v>4.5999999999999996</c:v>
                </c:pt>
              </c:numCache>
            </c:numRef>
          </c:val>
          <c:extLst>
            <c:ext xmlns:c16="http://schemas.microsoft.com/office/drawing/2014/chart" uri="{C3380CC4-5D6E-409C-BE32-E72D297353CC}">
              <c16:uniqueId val="{00000001-41F1-4F8A-89B0-109DBEF16E3B}"/>
            </c:ext>
          </c:extLst>
        </c:ser>
        <c:ser>
          <c:idx val="2"/>
          <c:order val="2"/>
          <c:tx>
            <c:strRef>
              <c:f>Working!$D$60</c:f>
              <c:strCache>
                <c:ptCount val="1"/>
                <c:pt idx="0">
                  <c:v>2020-21</c:v>
                </c:pt>
              </c:strCache>
            </c:strRef>
          </c:tx>
          <c:spPr>
            <a:solidFill>
              <a:srgbClr val="646464"/>
            </a:solidFill>
            <a:ln>
              <a:noFill/>
            </a:ln>
            <a:effectLst/>
          </c:spPr>
          <c:invertIfNegative val="0"/>
          <c:cat>
            <c:strRef>
              <c:f>(Working!$A$61,Working!$A$62,Working!$A$63,Working!$A$64,Working!$A$65,Working!$A$66,Working!$A$67,Working!$A$68,Working!$A$69)</c:f>
              <c:strCache>
                <c:ptCount val="9"/>
                <c:pt idx="0">
                  <c:v>Arts administration</c:v>
                </c:pt>
                <c:pt idx="1">
                  <c:v>Multi-arts festivals</c:v>
                </c:pt>
                <c:pt idx="2">
                  <c:v>Community arts &amp; cultural development</c:v>
                </c:pt>
                <c:pt idx="3">
                  <c:v>Visual arts &amp; crafts</c:v>
                </c:pt>
                <c:pt idx="4">
                  <c:v>Performing arts venues</c:v>
                </c:pt>
                <c:pt idx="5">
                  <c:v>Archives</c:v>
                </c:pt>
                <c:pt idx="6">
                  <c:v>Libraries</c:v>
                </c:pt>
                <c:pt idx="7">
                  <c:v>Other museums &amp; cultural heritage</c:v>
                </c:pt>
                <c:pt idx="8">
                  <c:v>Art museums</c:v>
                </c:pt>
              </c:strCache>
            </c:strRef>
          </c:cat>
          <c:val>
            <c:numRef>
              <c:f>Working!$D$61:$D$69</c:f>
              <c:numCache>
                <c:formatCode>#,##0.0</c:formatCode>
                <c:ptCount val="9"/>
                <c:pt idx="0">
                  <c:v>2.5</c:v>
                </c:pt>
                <c:pt idx="1">
                  <c:v>1.2</c:v>
                </c:pt>
                <c:pt idx="2">
                  <c:v>2.4</c:v>
                </c:pt>
                <c:pt idx="3">
                  <c:v>3</c:v>
                </c:pt>
                <c:pt idx="4">
                  <c:v>14.6</c:v>
                </c:pt>
                <c:pt idx="5">
                  <c:v>0.3</c:v>
                </c:pt>
                <c:pt idx="6">
                  <c:v>17.5</c:v>
                </c:pt>
                <c:pt idx="7">
                  <c:v>6.5</c:v>
                </c:pt>
                <c:pt idx="8">
                  <c:v>5.2</c:v>
                </c:pt>
              </c:numCache>
            </c:numRef>
          </c:val>
          <c:extLst>
            <c:ext xmlns:c16="http://schemas.microsoft.com/office/drawing/2014/chart" uri="{C3380CC4-5D6E-409C-BE32-E72D297353CC}">
              <c16:uniqueId val="{00000002-41F1-4F8A-89B0-109DBEF16E3B}"/>
            </c:ext>
          </c:extLst>
        </c:ser>
        <c:dLbls>
          <c:showLegendKey val="0"/>
          <c:showVal val="0"/>
          <c:showCatName val="0"/>
          <c:showSerName val="0"/>
          <c:showPercent val="0"/>
          <c:showBubbleSize val="0"/>
        </c:dLbls>
        <c:gapWidth val="100"/>
        <c:overlap val="-10"/>
        <c:axId val="989175784"/>
        <c:axId val="989176144"/>
      </c:barChart>
      <c:catAx>
        <c:axId val="989175784"/>
        <c:scaling>
          <c:orientation val="minMax"/>
        </c:scaling>
        <c:delete val="0"/>
        <c:axPos val="l"/>
        <c:numFmt formatCode="General" sourceLinked="1"/>
        <c:majorTickMark val="none"/>
        <c:minorTickMark val="none"/>
        <c:tickLblPos val="nextTo"/>
        <c:spPr>
          <a:noFill/>
          <a:ln w="9525" cap="flat" cmpd="sng" algn="ctr">
            <a:solidFill>
              <a:schemeClr val="tx1"/>
            </a:solidFill>
            <a:round/>
          </a:ln>
          <a:effectLst/>
        </c:spPr>
        <c:txPr>
          <a:bodyPr rot="-60000000" spcFirstLastPara="1" vertOverflow="ellipsis" vert="horz" wrap="square" anchor="ctr" anchorCtr="0"/>
          <a:lstStyle/>
          <a:p>
            <a:pPr>
              <a:defRPr sz="800" b="0" i="0" u="none" strike="noStrike" kern="1200" baseline="0">
                <a:solidFill>
                  <a:sysClr val="windowText" lastClr="000000"/>
                </a:solidFill>
                <a:latin typeface="+mn-lt"/>
                <a:ea typeface="+mn-ea"/>
                <a:cs typeface="+mn-cs"/>
              </a:defRPr>
            </a:pPr>
            <a:endParaRPr lang="en-US"/>
          </a:p>
        </c:txPr>
        <c:crossAx val="989176144"/>
        <c:crosses val="autoZero"/>
        <c:auto val="1"/>
        <c:lblAlgn val="ctr"/>
        <c:lblOffset val="100"/>
        <c:noMultiLvlLbl val="0"/>
      </c:catAx>
      <c:valAx>
        <c:axId val="989176144"/>
        <c:scaling>
          <c:orientation val="minMax"/>
          <c:max val="20"/>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sz="800" b="0" i="0" u="none" strike="noStrike" kern="1200" baseline="0">
                    <a:solidFill>
                      <a:sysClr val="windowText" lastClr="000000"/>
                    </a:solidFill>
                    <a:latin typeface="+mn-lt"/>
                    <a:ea typeface="+mn-ea"/>
                    <a:cs typeface="+mn-cs"/>
                  </a:defRPr>
                </a:pPr>
                <a:r>
                  <a:rPr lang="en-AU" sz="800">
                    <a:solidFill>
                      <a:sysClr val="windowText" lastClr="000000"/>
                    </a:solidFill>
                  </a:rPr>
                  <a:t>$m</a:t>
                </a:r>
              </a:p>
            </c:rich>
          </c:tx>
          <c:overlay val="0"/>
          <c:spPr>
            <a:noFill/>
            <a:ln>
              <a:noFill/>
            </a:ln>
            <a:effectLst/>
          </c:spPr>
          <c:txPr>
            <a:bodyPr rot="0" spcFirstLastPara="1" vertOverflow="ellipsis" vert="horz" wrap="square" anchor="ctr" anchorCtr="1"/>
            <a:lstStyle/>
            <a:p>
              <a:pPr>
                <a:defRPr sz="800" b="0" i="0" u="none" strike="noStrike" kern="1200" baseline="0">
                  <a:solidFill>
                    <a:sysClr val="windowText" lastClr="000000"/>
                  </a:solidFill>
                  <a:latin typeface="+mn-lt"/>
                  <a:ea typeface="+mn-ea"/>
                  <a:cs typeface="+mn-cs"/>
                </a:defRPr>
              </a:pPr>
              <a:endParaRPr lang="en-US"/>
            </a:p>
          </c:txPr>
        </c:title>
        <c:numFmt formatCode="#,##0" sourceLinked="0"/>
        <c:majorTickMark val="none"/>
        <c:minorTickMark val="none"/>
        <c:tickLblPos val="nextTo"/>
        <c:spPr>
          <a:noFill/>
          <a:ln>
            <a:solidFill>
              <a:schemeClr val="tx1"/>
            </a:solidFill>
          </a:ln>
          <a:effectLst/>
        </c:spPr>
        <c:txPr>
          <a:bodyPr rot="-60000000" spcFirstLastPara="1" vertOverflow="ellipsis" vert="horz" wrap="square" anchor="ctr" anchorCtr="1"/>
          <a:lstStyle/>
          <a:p>
            <a:pPr>
              <a:defRPr sz="800" b="0" i="0" u="none" strike="noStrike" kern="1200" baseline="0">
                <a:solidFill>
                  <a:sysClr val="windowText" lastClr="000000"/>
                </a:solidFill>
                <a:latin typeface="+mn-lt"/>
                <a:ea typeface="+mn-ea"/>
                <a:cs typeface="+mn-cs"/>
              </a:defRPr>
            </a:pPr>
            <a:endParaRPr lang="en-US"/>
          </a:p>
        </c:txPr>
        <c:crossAx val="989175784"/>
        <c:crosses val="autoZero"/>
        <c:crossBetween val="between"/>
        <c:majorUnit val="2"/>
      </c:valAx>
      <c:spPr>
        <a:noFill/>
        <a:ln>
          <a:noFill/>
        </a:ln>
        <a:effectLst/>
      </c:spPr>
    </c:plotArea>
    <c:legend>
      <c:legendPos val="b"/>
      <c:layout>
        <c:manualLayout>
          <c:xMode val="edge"/>
          <c:yMode val="edge"/>
          <c:x val="0.83954230670891727"/>
          <c:y val="2.3931059609050283E-2"/>
          <c:w val="0.14264931472281064"/>
          <c:h val="0.15632013162533789"/>
        </c:manualLayout>
      </c:layout>
      <c:overlay val="0"/>
      <c:spPr>
        <a:noFill/>
        <a:ln>
          <a:noFill/>
        </a:ln>
        <a:effectLst/>
      </c:spPr>
      <c:txPr>
        <a:bodyPr rot="0" spcFirstLastPara="1" vertOverflow="ellipsis" vert="horz" wrap="square" anchor="ctr" anchorCtr="1"/>
        <a:lstStyle/>
        <a:p>
          <a:pPr>
            <a:defRPr sz="800" b="0" i="0" u="none" strike="noStrike" kern="1200" baseline="0">
              <a:solidFill>
                <a:sysClr val="windowText" lastClr="000000"/>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nchor="ctr" anchorCtr="0"/>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DoCA">
      <a:dk1>
        <a:srgbClr val="000000"/>
      </a:dk1>
      <a:lt1>
        <a:srgbClr val="FFFFFF"/>
      </a:lt1>
      <a:dk2>
        <a:srgbClr val="155589"/>
      </a:dk2>
      <a:lt2>
        <a:srgbClr val="E4E4E4"/>
      </a:lt2>
      <a:accent1>
        <a:srgbClr val="77D1F5"/>
      </a:accent1>
      <a:accent2>
        <a:srgbClr val="4EB2B5"/>
      </a:accent2>
      <a:accent3>
        <a:srgbClr val="959ACD"/>
      </a:accent3>
      <a:accent4>
        <a:srgbClr val="1177AD"/>
      </a:accent4>
      <a:accent5>
        <a:srgbClr val="BADB98"/>
      </a:accent5>
      <a:accent6>
        <a:srgbClr val="626E81"/>
      </a:accent6>
      <a:hlink>
        <a:srgbClr val="155589"/>
      </a:hlink>
      <a:folHlink>
        <a:srgbClr val="155589"/>
      </a:folHlink>
    </a:clrScheme>
    <a:fontScheme name="DoCA">
      <a:majorFont>
        <a:latin typeface="Calibri Light"/>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E8582E-C3E5-42C6-9951-79183C981E1E}">
  <ds:schemaRefs>
    <ds:schemaRef ds:uri="http://schemas.openxmlformats.org/officeDocument/2006/bibliography"/>
  </ds:schemaRefs>
</ds:datastoreItem>
</file>

<file path=docMetadata/LabelInfo.xml><?xml version="1.0" encoding="utf-8"?>
<clbl:labelList xmlns:clbl="http://schemas.microsoft.com/office/2020/mipLabelMetadata">
  <clbl:label id="{77274858-3b1d-4431-8679-d878f40e28fd}" enabled="1" method="Privileged" siteId="{bda528f7-fca9-432f-bc98-bd7e90d40906}" contentBits="1"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2</Pages>
  <Words>325</Words>
  <Characters>1853</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2025-09-09T02:12:00Z</dcterms:created>
  <dcterms:modified xsi:type="dcterms:W3CDTF">2025-09-10T01:05:00Z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8e5a7ee-c283-40b0-98eb-fa437df4c031_Enabled">
    <vt:lpwstr>true</vt:lpwstr>
  </property>
  <property fmtid="{D5CDD505-2E9C-101B-9397-08002B2CF9AE}" pid="3" name="MSIP_Label_c8e5a7ee-c283-40b0-98eb-fa437df4c031_SetDate">
    <vt:lpwstr>2025-06-27T04:45:52Z</vt:lpwstr>
  </property>
  <property fmtid="{D5CDD505-2E9C-101B-9397-08002B2CF9AE}" pid="4" name="MSIP_Label_c8e5a7ee-c283-40b0-98eb-fa437df4c031_Method">
    <vt:lpwstr>Privileged</vt:lpwstr>
  </property>
  <property fmtid="{D5CDD505-2E9C-101B-9397-08002B2CF9AE}" pid="5" name="MSIP_Label_c8e5a7ee-c283-40b0-98eb-fa437df4c031_Name">
    <vt:lpwstr>OFFICIAL</vt:lpwstr>
  </property>
  <property fmtid="{D5CDD505-2E9C-101B-9397-08002B2CF9AE}" pid="6" name="MSIP_Label_c8e5a7ee-c283-40b0-98eb-fa437df4c031_SiteId">
    <vt:lpwstr>34cdb737-c4fa-4c21-9a34-88ac2d721f88</vt:lpwstr>
  </property>
  <property fmtid="{D5CDD505-2E9C-101B-9397-08002B2CF9AE}" pid="7" name="MSIP_Label_c8e5a7ee-c283-40b0-98eb-fa437df4c031_ActionId">
    <vt:lpwstr>56531f24-c291-4b92-b9fa-94d96876db47</vt:lpwstr>
  </property>
  <property fmtid="{D5CDD505-2E9C-101B-9397-08002B2CF9AE}" pid="8" name="MSIP_Label_c8e5a7ee-c283-40b0-98eb-fa437df4c031_ContentBits">
    <vt:lpwstr>0</vt:lpwstr>
  </property>
  <property fmtid="{D5CDD505-2E9C-101B-9397-08002B2CF9AE}" pid="9" name="MSIP_Label_c8e5a7ee-c283-40b0-98eb-fa437df4c031_Tag">
    <vt:lpwstr>10, 0, 1, 1</vt:lpwstr>
  </property>
</Properties>
</file>