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02FB471F" w:rsidR="002117E6" w:rsidRDefault="001D64AC" w:rsidP="00477982">
      <w:pPr>
        <w:pStyle w:val="Heading1"/>
      </w:pPr>
      <w:r>
        <w:t>Cultural Funding by Government—</w:t>
      </w:r>
      <w:r w:rsidR="0070126E">
        <w:t>202</w:t>
      </w:r>
      <w:r w:rsidR="00AE569B">
        <w:t>3</w:t>
      </w:r>
      <w:r w:rsidR="0070126E">
        <w:t>–2</w:t>
      </w:r>
      <w:r w:rsidR="00AE569B">
        <w:t>4</w:t>
      </w:r>
    </w:p>
    <w:p w14:paraId="02F88D53" w14:textId="77777777" w:rsidR="00EE4925" w:rsidRDefault="00EE4925" w:rsidP="00EE4925">
      <w:pPr>
        <w:pStyle w:val="Heading2"/>
      </w:pPr>
      <w:r>
        <w:rPr>
          <w:szCs w:val="36"/>
        </w:rPr>
        <w:t xml:space="preserve">Local </w:t>
      </w:r>
      <w:r w:rsidRPr="00BE60A4">
        <w:rPr>
          <w:szCs w:val="36"/>
        </w:rPr>
        <w:t>government</w:t>
      </w:r>
    </w:p>
    <w:p w14:paraId="35FD8692" w14:textId="66924A70" w:rsidR="00EE4925" w:rsidRDefault="00EE4925" w:rsidP="00C87B37">
      <w:pPr>
        <w:spacing w:after="0"/>
      </w:pPr>
      <w:bookmarkStart w:id="0" w:name="_Toc524532989"/>
      <w:r w:rsidRPr="004F277D">
        <w:t xml:space="preserve">The estimate </w:t>
      </w:r>
      <w:bookmarkStart w:id="1" w:name="_GoBack"/>
      <w:bookmarkEnd w:id="1"/>
      <w:r w:rsidRPr="004F277D">
        <w:t>of expenditure funded by Local government in 202</w:t>
      </w:r>
      <w:r w:rsidR="00AE569B" w:rsidRPr="004F277D">
        <w:t>3</w:t>
      </w:r>
      <w:r w:rsidRPr="004F277D">
        <w:t>–2</w:t>
      </w:r>
      <w:r w:rsidR="00AE569B" w:rsidRPr="004F277D">
        <w:t>4</w:t>
      </w:r>
      <w:r w:rsidRPr="004F277D">
        <w:t xml:space="preserve"> for cultural activities was</w:t>
      </w:r>
      <w:r w:rsidR="00C87B37" w:rsidRPr="004F277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 xml:space="preserve"> </w:t>
      </w:r>
      <w:r w:rsidRPr="004F277D">
        <w:rPr>
          <w:b/>
        </w:rPr>
        <w:t>$</w:t>
      </w:r>
      <w:r w:rsidR="003E22E8" w:rsidRPr="004F277D">
        <w:rPr>
          <w:b/>
        </w:rPr>
        <w:t>2,157.8</w:t>
      </w:r>
      <w:r w:rsidRPr="004F277D">
        <w:rPr>
          <w:b/>
        </w:rPr>
        <w:t>m</w:t>
      </w:r>
      <w:r w:rsidRPr="004F277D">
        <w:t xml:space="preserve">. This represented </w:t>
      </w:r>
      <w:r w:rsidR="004F277D" w:rsidRPr="004F277D">
        <w:rPr>
          <w:b/>
          <w:bCs/>
        </w:rPr>
        <w:t>25</w:t>
      </w:r>
      <w:r w:rsidRPr="004F277D">
        <w:rPr>
          <w:b/>
          <w:bCs/>
        </w:rPr>
        <w:t>%</w:t>
      </w:r>
      <w:r w:rsidRPr="004F277D">
        <w:t xml:space="preserve"> of the total government funded expenditure on cultural activities.</w:t>
      </w:r>
    </w:p>
    <w:p w14:paraId="0F43A0B5" w14:textId="77777777" w:rsidR="00B6522E" w:rsidRPr="00C87B37" w:rsidRDefault="00B6522E" w:rsidP="00C87B37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</w:pPr>
    </w:p>
    <w:p w14:paraId="5A205865" w14:textId="038608BF" w:rsidR="00EE4925" w:rsidRDefault="00EE4925" w:rsidP="00EE4925">
      <w:pPr>
        <w:pStyle w:val="Tablefigureheading"/>
      </w:pPr>
      <w:r>
        <w:t>Table 1. Local government cultural expenditure, 20</w:t>
      </w:r>
      <w:r w:rsidR="00AE569B">
        <w:t>20</w:t>
      </w:r>
      <w:r>
        <w:t>–</w:t>
      </w:r>
      <w:r w:rsidR="002C1AD2">
        <w:t>2</w:t>
      </w:r>
      <w:r w:rsidR="00AE569B">
        <w:t>1</w:t>
      </w:r>
      <w:r>
        <w:t xml:space="preserve"> to 202</w:t>
      </w:r>
      <w:r w:rsidR="00AE569B">
        <w:t>3</w:t>
      </w:r>
      <w:r>
        <w:t>–2</w:t>
      </w:r>
      <w:r w:rsidR="00AE569B">
        <w:t>4</w:t>
      </w:r>
      <w:r w:rsidR="003B6178">
        <w:rPr>
          <w:rStyle w:val="FootnoteReference"/>
        </w:rPr>
        <w:footnoteReference w:id="1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Local government cultural expenditure, 2015–16 to 2017–18."/>
      </w:tblPr>
      <w:tblGrid>
        <w:gridCol w:w="1754"/>
        <w:gridCol w:w="2057"/>
        <w:gridCol w:w="2339"/>
      </w:tblGrid>
      <w:tr w:rsidR="00EE4925" w14:paraId="31636036" w14:textId="77777777" w:rsidTr="00D8616D">
        <w:trPr>
          <w:cantSplit/>
          <w:trHeight w:val="251"/>
          <w:tblHeader/>
        </w:trPr>
        <w:tc>
          <w:tcPr>
            <w:tcW w:w="175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5EBEDDD" w14:textId="29B451FD" w:rsidR="00EE4925" w:rsidRDefault="00AE569B" w:rsidP="00D8616D">
            <w:pPr>
              <w:pStyle w:val="Tablerowcolumnheading"/>
              <w:jc w:val="center"/>
            </w:pPr>
            <w:bookmarkStart w:id="2" w:name="RowTitle"/>
            <w:r>
              <w:t>2020–21</w:t>
            </w:r>
          </w:p>
        </w:tc>
        <w:tc>
          <w:tcPr>
            <w:tcW w:w="2057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67110296" w14:textId="293AA182" w:rsidR="00EE4925" w:rsidRDefault="00AE569B" w:rsidP="00C81F1C">
            <w:pPr>
              <w:pStyle w:val="Tablerowcolumnheadingcentred"/>
            </w:pPr>
            <w:r>
              <w:t>2021–22</w:t>
            </w:r>
          </w:p>
        </w:tc>
        <w:tc>
          <w:tcPr>
            <w:tcW w:w="233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129D2364" w14:textId="7994679B" w:rsidR="00EE4925" w:rsidRDefault="00EE4925" w:rsidP="00C81F1C">
            <w:pPr>
              <w:pStyle w:val="Tablerowcolumnheadingcentred"/>
            </w:pPr>
            <w:r>
              <w:t>202</w:t>
            </w:r>
            <w:r w:rsidR="00AE569B">
              <w:t>3</w:t>
            </w:r>
            <w:r>
              <w:t>–2</w:t>
            </w:r>
            <w:r w:rsidR="00AE569B">
              <w:t>4</w:t>
            </w:r>
          </w:p>
        </w:tc>
      </w:tr>
      <w:bookmarkEnd w:id="2"/>
      <w:tr w:rsidR="00EE4925" w14:paraId="3A4E1668" w14:textId="77777777" w:rsidTr="00D8616D">
        <w:trPr>
          <w:cantSplit/>
          <w:trHeight w:val="251"/>
        </w:trPr>
        <w:tc>
          <w:tcPr>
            <w:tcW w:w="17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6EC9E3" w14:textId="307D7A1F" w:rsidR="00EE4925" w:rsidRPr="00303AC1" w:rsidRDefault="00AE569B" w:rsidP="00FE79C6">
            <w:pPr>
              <w:pStyle w:val="Tabletextcentred"/>
            </w:pPr>
            <w:r w:rsidRPr="008F0FC6">
              <w:t>$1,</w:t>
            </w:r>
            <w:r>
              <w:t>785</w:t>
            </w:r>
            <w:r w:rsidRPr="008F0FC6">
              <w:t>.</w:t>
            </w:r>
            <w:r>
              <w:t>8</w:t>
            </w:r>
            <w:r w:rsidRPr="008F0FC6">
              <w:t>m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43F43D" w14:textId="298422F4" w:rsidR="00EE4925" w:rsidRPr="00303AC1" w:rsidRDefault="00AE569B" w:rsidP="00C81F1C">
            <w:pPr>
              <w:pStyle w:val="Tabletextcentred"/>
            </w:pPr>
            <w:r w:rsidRPr="008F0FC6">
              <w:t>$1,8</w:t>
            </w:r>
            <w:r>
              <w:t>26</w:t>
            </w:r>
            <w:r w:rsidRPr="008F0FC6">
              <w:t>.</w:t>
            </w:r>
            <w:r>
              <w:t>7</w:t>
            </w:r>
            <w:r w:rsidRPr="008F0FC6">
              <w:t>m ↑2%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6FD9BC8" w14:textId="37CF5839" w:rsidR="00EE4925" w:rsidRPr="00303AC1" w:rsidRDefault="00FE79C6" w:rsidP="00C81F1C">
            <w:pPr>
              <w:pStyle w:val="Tabletextcentred"/>
            </w:pPr>
            <w:r w:rsidRPr="008F0FC6">
              <w:t>$</w:t>
            </w:r>
            <w:r w:rsidR="00513330" w:rsidRPr="00513330">
              <w:rPr>
                <w:bCs/>
              </w:rPr>
              <w:t>2,157.8</w:t>
            </w:r>
            <w:r w:rsidR="00AE569B" w:rsidRPr="00513330">
              <w:t>m</w:t>
            </w:r>
            <w:r w:rsidR="00AE569B">
              <w:t xml:space="preserve"> </w:t>
            </w:r>
            <w:r w:rsidRPr="008F0FC6">
              <w:t>↑</w:t>
            </w:r>
            <w:r w:rsidR="00513330" w:rsidRPr="00513330">
              <w:t>18</w:t>
            </w:r>
            <w:r w:rsidRPr="00513330">
              <w:t>%</w:t>
            </w:r>
          </w:p>
        </w:tc>
      </w:tr>
    </w:tbl>
    <w:p w14:paraId="60BE69F2" w14:textId="125D2978" w:rsidR="00EE4925" w:rsidRPr="00CC5725" w:rsidRDefault="00EE4925" w:rsidP="00EE4925">
      <w:pPr>
        <w:pStyle w:val="bullet-arrow"/>
        <w:numPr>
          <w:ilvl w:val="0"/>
          <w:numId w:val="13"/>
        </w:numPr>
        <w:spacing w:before="240"/>
      </w:pPr>
      <w:r w:rsidRPr="00CC5725">
        <w:t xml:space="preserve">Local government </w:t>
      </w:r>
      <w:r>
        <w:t xml:space="preserve">cultural expenditure </w:t>
      </w:r>
      <w:r w:rsidR="007869BE">
        <w:t>increased</w:t>
      </w:r>
      <w:r w:rsidRPr="00CC5725">
        <w:t xml:space="preserve"> </w:t>
      </w:r>
      <w:r w:rsidR="00513330" w:rsidRPr="00513330">
        <w:t>18</w:t>
      </w:r>
      <w:r w:rsidRPr="00513330">
        <w:t>% (or $</w:t>
      </w:r>
      <w:r w:rsidR="00513330" w:rsidRPr="00513330">
        <w:t>331.1</w:t>
      </w:r>
      <w:r w:rsidRPr="00513330">
        <w:t>m</w:t>
      </w:r>
      <w:r>
        <w:t xml:space="preserve">) </w:t>
      </w:r>
      <w:r w:rsidRPr="00CC5725">
        <w:t xml:space="preserve">between </w:t>
      </w:r>
      <w:r>
        <w:t>202</w:t>
      </w:r>
      <w:r w:rsidR="00AE569B">
        <w:t>1</w:t>
      </w:r>
      <w:r>
        <w:t>–2</w:t>
      </w:r>
      <w:r w:rsidR="00AE569B">
        <w:t>2</w:t>
      </w:r>
      <w:r w:rsidR="007869BE">
        <w:t xml:space="preserve"> and 202</w:t>
      </w:r>
      <w:r w:rsidR="00AE569B">
        <w:t>3</w:t>
      </w:r>
      <w:r w:rsidR="007869BE">
        <w:t>–2</w:t>
      </w:r>
      <w:r w:rsidR="00AE569B">
        <w:t>4</w:t>
      </w:r>
      <w:r w:rsidRPr="00CC5725">
        <w:t>.</w:t>
      </w:r>
    </w:p>
    <w:p w14:paraId="03F364C6" w14:textId="42E41193" w:rsidR="00EE4925" w:rsidRPr="00513330" w:rsidRDefault="00EE4925" w:rsidP="00EE4925">
      <w:pPr>
        <w:pStyle w:val="ListParagraph"/>
        <w:numPr>
          <w:ilvl w:val="0"/>
          <w:numId w:val="13"/>
        </w:numPr>
      </w:pPr>
      <w:r w:rsidRPr="00513330">
        <w:t>Expenditure on cultural activities generally reflected the size of the population (New South Wales—$</w:t>
      </w:r>
      <w:r w:rsidR="00513330" w:rsidRPr="00513330">
        <w:t>650.5</w:t>
      </w:r>
      <w:r w:rsidRPr="00513330">
        <w:t>m, Victoria—$</w:t>
      </w:r>
      <w:r w:rsidR="00513330" w:rsidRPr="00513330">
        <w:t>656.0</w:t>
      </w:r>
      <w:r w:rsidRPr="00513330">
        <w:t>m and Queensland—$3</w:t>
      </w:r>
      <w:r w:rsidR="00513330" w:rsidRPr="00513330">
        <w:t>74.4</w:t>
      </w:r>
      <w:r w:rsidRPr="00513330">
        <w:t>m).</w:t>
      </w:r>
    </w:p>
    <w:p w14:paraId="276D6A7C" w14:textId="70EB9614" w:rsidR="00C22A66" w:rsidRPr="00C22A66" w:rsidRDefault="00EE4925" w:rsidP="00C22A66">
      <w:pPr>
        <w:pStyle w:val="Tablefigureheading"/>
      </w:pPr>
      <w:r w:rsidRPr="00E23F09">
        <w:t xml:space="preserve">Figure 1. </w:t>
      </w:r>
      <w:bookmarkEnd w:id="0"/>
      <w:r w:rsidRPr="00CC5725">
        <w:t xml:space="preserve">Local </w:t>
      </w:r>
      <w:r>
        <w:t>g</w:t>
      </w:r>
      <w:r w:rsidRPr="00CC5725">
        <w:t>overnment cultural expenditure</w:t>
      </w:r>
      <w:r w:rsidR="00B6522E">
        <w:t xml:space="preserve"> (recurrent and capital)</w:t>
      </w:r>
      <w:r w:rsidRPr="00CC5725">
        <w:t>,</w:t>
      </w:r>
      <w:r>
        <w:t xml:space="preserve"> by state and territory(a)(b)</w:t>
      </w:r>
    </w:p>
    <w:p w14:paraId="2BFB3DC6" w14:textId="08BD044E" w:rsidR="00EE4925" w:rsidRPr="008F0FC6" w:rsidRDefault="00513330" w:rsidP="00513330">
      <w:pPr>
        <w:rPr>
          <w:noProof/>
          <w:color w:val="FF0000"/>
          <w:lang w:eastAsia="en-AU"/>
        </w:rPr>
      </w:pPr>
      <w:r>
        <w:rPr>
          <w:noProof/>
        </w:rPr>
        <w:drawing>
          <wp:inline distT="0" distB="0" distL="0" distR="0" wp14:anchorId="565AC7A0" wp14:editId="4B2FC66E">
            <wp:extent cx="5508000" cy="2555558"/>
            <wp:effectExtent l="0" t="0" r="0" b="0"/>
            <wp:docPr id="1872898258" name="Chart 1" descr="Figure 1. Local government cultural expenditure (recurrent and capital), by state and territory.&#10;A column graph compares expenditure across NSW, Vic, Qld, SA, WA, Tas and NT between the financial years of 2020-21, 2021-22 and 2023-24 for Local government.&#10;2020-21: NSW $536.0m, Vic $509.0m, Qld $340.1m, SA $171.5m, WA $200.6m, Tas $25.1m, NT $3.4m.&#10;2021-22: NSW $555.4m, Vic $543.2m, Qld $331.5m, SA $175.8m, WA $200.5m, Tas $17.0m, NT $3.3m.&#10;2023-24: NSW $650.5m, Vic $656.0m, Qld $374.4m, SA $214.4m, WA $237.5m, Tas $23.2m, NT $1.6m.">
              <a:extLst xmlns:a="http://schemas.openxmlformats.org/drawingml/2006/main">
                <a:ext uri="{FF2B5EF4-FFF2-40B4-BE49-F238E27FC236}">
                  <a16:creationId xmlns:a16="http://schemas.microsoft.com/office/drawing/2014/main" id="{C67D09FF-A8A9-47EB-8C13-EEA8BA0A18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7D8D6D" w14:textId="77777777" w:rsidR="00EE4925" w:rsidRPr="00220CF9" w:rsidRDefault="00EE4925" w:rsidP="00EE4925">
      <w:pPr>
        <w:pStyle w:val="Sourcenote"/>
        <w:numPr>
          <w:ilvl w:val="0"/>
          <w:numId w:val="9"/>
        </w:numPr>
        <w:spacing w:after="0"/>
        <w:ind w:left="567" w:hanging="567"/>
        <w:rPr>
          <w:sz w:val="18"/>
          <w:szCs w:val="18"/>
        </w:rPr>
      </w:pPr>
      <w:r w:rsidRPr="00220CF9">
        <w:rPr>
          <w:sz w:val="18"/>
          <w:szCs w:val="18"/>
        </w:rPr>
        <w:t>Care should be taken when comparing expenditure between states and territories due to different administrative arrangements and responsibilities.</w:t>
      </w:r>
    </w:p>
    <w:p w14:paraId="4BA766CA" w14:textId="77777777" w:rsidR="00EE4925" w:rsidRPr="00220CF9" w:rsidRDefault="00EE4925" w:rsidP="00EE4925">
      <w:pPr>
        <w:pStyle w:val="Sourcenote"/>
        <w:numPr>
          <w:ilvl w:val="0"/>
          <w:numId w:val="9"/>
        </w:numPr>
        <w:ind w:left="567" w:hanging="567"/>
        <w:rPr>
          <w:sz w:val="18"/>
          <w:szCs w:val="18"/>
        </w:rPr>
      </w:pPr>
      <w:r w:rsidRPr="00220CF9">
        <w:rPr>
          <w:sz w:val="18"/>
          <w:szCs w:val="18"/>
        </w:rPr>
        <w:t>Australian Capital Territory does not have local governments.</w:t>
      </w:r>
    </w:p>
    <w:p w14:paraId="701F2534" w14:textId="5CF93F53" w:rsidR="00EE4925" w:rsidRDefault="0012229A" w:rsidP="00EE4925">
      <w:pPr>
        <w:keepNext/>
      </w:pPr>
      <w:bookmarkStart w:id="3" w:name="_Toc524532990"/>
      <w:bookmarkStart w:id="4" w:name="_Toc524533023"/>
      <w:r>
        <w:t>Total r</w:t>
      </w:r>
      <w:r w:rsidR="00EE4925" w:rsidRPr="00CC5725">
        <w:t>ecurrent expen</w:t>
      </w:r>
      <w:r w:rsidR="00EE4925">
        <w:t>ses</w:t>
      </w:r>
      <w:r w:rsidR="00EE4925" w:rsidRPr="00CC5725">
        <w:t xml:space="preserve"> </w:t>
      </w:r>
      <w:r w:rsidR="00CE55D5" w:rsidRPr="00C73C00">
        <w:t>increased</w:t>
      </w:r>
      <w:r w:rsidR="00EE4925" w:rsidRPr="00C73C00">
        <w:t xml:space="preserve"> </w:t>
      </w:r>
      <w:r w:rsidR="00C73C00" w:rsidRPr="00C73C00">
        <w:t>1</w:t>
      </w:r>
      <w:r w:rsidR="00D26737">
        <w:t>5</w:t>
      </w:r>
      <w:r w:rsidR="00EE4925" w:rsidRPr="00C73C00">
        <w:t>% (or $</w:t>
      </w:r>
      <w:r w:rsidR="00C73C00" w:rsidRPr="00C73C00">
        <w:t>236.9</w:t>
      </w:r>
      <w:r w:rsidR="00EE4925" w:rsidRPr="00C73C00">
        <w:t>m) to $</w:t>
      </w:r>
      <w:r w:rsidR="00C73C00" w:rsidRPr="00C73C00">
        <w:t>1,828.2</w:t>
      </w:r>
      <w:r w:rsidR="00EE4925" w:rsidRPr="00C73C00">
        <w:t>m.</w:t>
      </w:r>
    </w:p>
    <w:p w14:paraId="75E32337" w14:textId="57367BD9" w:rsidR="00EE4925" w:rsidRPr="00C73C00" w:rsidRDefault="00EE4925" w:rsidP="00EE4925">
      <w:pPr>
        <w:pStyle w:val="bullet-arrow"/>
        <w:numPr>
          <w:ilvl w:val="0"/>
          <w:numId w:val="14"/>
        </w:numPr>
      </w:pPr>
      <w:r>
        <w:t xml:space="preserve">Recurrent expenses </w:t>
      </w:r>
      <w:r w:rsidRPr="00CC5725">
        <w:t xml:space="preserve">accounted </w:t>
      </w:r>
      <w:r w:rsidRPr="00C73C00">
        <w:t xml:space="preserve">for </w:t>
      </w:r>
      <w:r w:rsidR="00C73C00" w:rsidRPr="00C73C00">
        <w:t>85</w:t>
      </w:r>
      <w:r w:rsidRPr="00C73C00">
        <w:t>%</w:t>
      </w:r>
      <w:r>
        <w:t xml:space="preserve"> of </w:t>
      </w:r>
      <w:r w:rsidRPr="00CC5725">
        <w:t xml:space="preserve">funded </w:t>
      </w:r>
      <w:r>
        <w:t xml:space="preserve">cultural expenditure. </w:t>
      </w:r>
      <w:r w:rsidRPr="00C73C00">
        <w:t>New South Wales had the largest amount of recurrent expenditure at $</w:t>
      </w:r>
      <w:r w:rsidR="00C73C00">
        <w:t>562.4</w:t>
      </w:r>
      <w:r w:rsidRPr="00C73C00">
        <w:t>m, followed by Victoria ($</w:t>
      </w:r>
      <w:r w:rsidR="00C73C00">
        <w:t>514.0</w:t>
      </w:r>
      <w:r w:rsidRPr="00C73C00">
        <w:t>m) and Queensland ($</w:t>
      </w:r>
      <w:r w:rsidR="00E0610E" w:rsidRPr="00C73C00">
        <w:t>3</w:t>
      </w:r>
      <w:r w:rsidR="00C73C00">
        <w:t>31.5</w:t>
      </w:r>
      <w:r w:rsidRPr="00C73C00">
        <w:t>m).</w:t>
      </w:r>
    </w:p>
    <w:p w14:paraId="25CAE167" w14:textId="2E5D8288" w:rsidR="00EE4925" w:rsidRDefault="00EE4925" w:rsidP="00EE4925">
      <w:pPr>
        <w:keepNext/>
      </w:pPr>
      <w:r>
        <w:lastRenderedPageBreak/>
        <w:t>Total Local government c</w:t>
      </w:r>
      <w:r w:rsidRPr="00303AC1">
        <w:t xml:space="preserve">apital </w:t>
      </w:r>
      <w:r w:rsidRPr="00E855CD">
        <w:t>expenditure was $</w:t>
      </w:r>
      <w:r w:rsidR="00E855CD" w:rsidRPr="00E855CD">
        <w:t>329.6</w:t>
      </w:r>
      <w:r w:rsidRPr="00E855CD">
        <w:t>m.</w:t>
      </w:r>
    </w:p>
    <w:p w14:paraId="7335FFF6" w14:textId="4E1D1ECB" w:rsidR="00EE4925" w:rsidRPr="001801A3" w:rsidRDefault="00EE4925" w:rsidP="00EE4925">
      <w:pPr>
        <w:pStyle w:val="bullet-arrow"/>
      </w:pPr>
      <w:r w:rsidRPr="001801A3">
        <w:t>Victoria, New South Wales and Queensland spent the largest amounts of capital ($</w:t>
      </w:r>
      <w:r w:rsidR="001801A3" w:rsidRPr="001801A3">
        <w:t>142.1</w:t>
      </w:r>
      <w:r w:rsidRPr="001801A3">
        <w:t>m, $</w:t>
      </w:r>
      <w:r w:rsidR="001801A3" w:rsidRPr="001801A3">
        <w:t>88.1</w:t>
      </w:r>
      <w:r w:rsidRPr="001801A3">
        <w:t>m, and $</w:t>
      </w:r>
      <w:r w:rsidR="001801A3" w:rsidRPr="001801A3">
        <w:t>42</w:t>
      </w:r>
      <w:r w:rsidRPr="001801A3">
        <w:t>.</w:t>
      </w:r>
      <w:r w:rsidR="00302C3B" w:rsidRPr="001801A3">
        <w:t>9</w:t>
      </w:r>
      <w:r w:rsidRPr="001801A3">
        <w:t>m respectively).</w:t>
      </w:r>
    </w:p>
    <w:p w14:paraId="79A96E82" w14:textId="672D3CCD" w:rsidR="00EE4925" w:rsidRPr="00BE60A4" w:rsidRDefault="00EE4925" w:rsidP="00EE4925">
      <w:pPr>
        <w:pStyle w:val="Tablefigureheading"/>
      </w:pPr>
      <w:r w:rsidRPr="00BE60A4">
        <w:t xml:space="preserve">Figure 2. </w:t>
      </w:r>
      <w:bookmarkEnd w:id="3"/>
      <w:r w:rsidRPr="00BE60A4">
        <w:t>Local government cultural expenditure, recurrent and capital, by state and territory(a)(b)</w:t>
      </w:r>
      <w:r w:rsidR="00EE10AB" w:rsidRPr="00EE10AB">
        <w:t xml:space="preserve"> </w:t>
      </w:r>
      <w:r w:rsidR="00EE10AB" w:rsidRPr="00BE60A4">
        <w:t>—</w:t>
      </w:r>
      <w:r w:rsidR="00EE10AB">
        <w:t>2023–24</w:t>
      </w:r>
    </w:p>
    <w:p w14:paraId="74017207" w14:textId="59DC81A2" w:rsidR="00EE4925" w:rsidRPr="00942AF4" w:rsidRDefault="00513330" w:rsidP="00513330">
      <w:pPr>
        <w:pStyle w:val="Tablefigureheading"/>
        <w:rPr>
          <w:rFonts w:asciiTheme="minorHAnsi" w:hAnsiTheme="minorHAnsi"/>
          <w:b w:val="0"/>
          <w:color w:val="auto"/>
        </w:rPr>
      </w:pPr>
      <w:r>
        <w:rPr>
          <w:noProof/>
        </w:rPr>
        <w:drawing>
          <wp:inline distT="0" distB="0" distL="0" distR="0" wp14:anchorId="7B661B5C" wp14:editId="77B5F380">
            <wp:extent cx="5508000" cy="2743200"/>
            <wp:effectExtent l="0" t="0" r="0" b="0"/>
            <wp:docPr id="1252613123" name="Chart 1" descr="Figure 2. Local government cultural expenditure, recurrent and capital, by state and territory.&#10;A column graph compares recurrent and capital expenditure across NSW, Vic, Qld, SA, WA, Tas and NT for the financial year of 2023-24 for Local government.&#10;Recurrent: NSW $562.4m, Vic $514.0m, Qld $331.5m, SA $181.8m, WA $216.7m, Tas $20.2m, NT $1.6m.&#10;Capital: NSW $88.1m, Vic $142.1m, Qld $42.9m, SA $32.7m, WA $20.9m, Tas $3.0m, NT $11,000.">
              <a:extLst xmlns:a="http://schemas.openxmlformats.org/drawingml/2006/main">
                <a:ext uri="{FF2B5EF4-FFF2-40B4-BE49-F238E27FC236}">
                  <a16:creationId xmlns:a16="http://schemas.microsoft.com/office/drawing/2014/main" id="{E148D66A-859B-4168-8CEB-E5CCD44D86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8059AC" w14:textId="77777777" w:rsidR="00EE4925" w:rsidRPr="00220CF9" w:rsidRDefault="00EE4925" w:rsidP="00EE4925">
      <w:pPr>
        <w:pStyle w:val="Sourcenote"/>
        <w:numPr>
          <w:ilvl w:val="0"/>
          <w:numId w:val="10"/>
        </w:numPr>
        <w:spacing w:after="0"/>
        <w:rPr>
          <w:sz w:val="18"/>
          <w:szCs w:val="18"/>
        </w:rPr>
      </w:pPr>
      <w:r w:rsidRPr="00220CF9">
        <w:rPr>
          <w:sz w:val="18"/>
          <w:szCs w:val="18"/>
        </w:rPr>
        <w:t>Care should be taken when comparing expenditure between states and territories due to different administrative arrangements and responsibilities.</w:t>
      </w:r>
    </w:p>
    <w:p w14:paraId="34FD0150" w14:textId="77777777" w:rsidR="00EE4925" w:rsidRPr="00220CF9" w:rsidRDefault="00EE4925" w:rsidP="00EE4925">
      <w:pPr>
        <w:pStyle w:val="Sourcenote"/>
        <w:numPr>
          <w:ilvl w:val="0"/>
          <w:numId w:val="10"/>
        </w:numPr>
        <w:ind w:left="567" w:hanging="567"/>
        <w:rPr>
          <w:sz w:val="18"/>
          <w:szCs w:val="18"/>
        </w:rPr>
      </w:pPr>
      <w:r w:rsidRPr="00220CF9">
        <w:rPr>
          <w:sz w:val="18"/>
          <w:szCs w:val="18"/>
        </w:rPr>
        <w:t>Australian Capital Territory does not have local governments.</w:t>
      </w:r>
    </w:p>
    <w:p w14:paraId="69282E34" w14:textId="46F2FBFC" w:rsidR="00EE4925" w:rsidRDefault="00EE4925" w:rsidP="00EE4925">
      <w:bookmarkStart w:id="5" w:name="_Toc524533028"/>
      <w:r w:rsidRPr="00303AC1">
        <w:t xml:space="preserve">The estimate of </w:t>
      </w:r>
      <w:r>
        <w:t xml:space="preserve">total Local government </w:t>
      </w:r>
      <w:r w:rsidRPr="00303AC1">
        <w:t>per person cultural fundi</w:t>
      </w:r>
      <w:r w:rsidRPr="001801A3">
        <w:t>ng was $</w:t>
      </w:r>
      <w:r w:rsidR="001801A3" w:rsidRPr="001801A3">
        <w:t>80.07</w:t>
      </w:r>
      <w:r w:rsidRPr="001801A3">
        <w:t>.</w:t>
      </w:r>
    </w:p>
    <w:p w14:paraId="4581806B" w14:textId="4FF17E13" w:rsidR="00EE4925" w:rsidRPr="00BE60A4" w:rsidRDefault="00EE4925" w:rsidP="00EE4925">
      <w:pPr>
        <w:pStyle w:val="Tablefigureheading"/>
      </w:pPr>
      <w:r w:rsidRPr="00BE60A4">
        <w:t>Figure 3. Local government cultural expenditure per person, by state and territory(a)(b)</w:t>
      </w:r>
      <w:bookmarkEnd w:id="5"/>
      <w:r w:rsidR="00EE10AB" w:rsidRPr="00EE10AB">
        <w:t xml:space="preserve"> </w:t>
      </w:r>
      <w:r w:rsidR="00EE10AB" w:rsidRPr="00BE60A4">
        <w:t>—</w:t>
      </w:r>
      <w:r w:rsidR="00EE10AB">
        <w:t>2023–24</w:t>
      </w:r>
    </w:p>
    <w:p w14:paraId="1428688F" w14:textId="4EC66455" w:rsidR="00EE4925" w:rsidRDefault="00D24EF7" w:rsidP="00EE4925">
      <w:r>
        <w:rPr>
          <w:noProof/>
        </w:rPr>
        <w:drawing>
          <wp:inline distT="0" distB="0" distL="0" distR="0" wp14:anchorId="2C03F55C" wp14:editId="3D1818BB">
            <wp:extent cx="5508000" cy="2743200"/>
            <wp:effectExtent l="0" t="0" r="0" b="0"/>
            <wp:docPr id="399063509" name="Chart 1" descr="Figure 3. Local Government cultural expenditure per person, by state and territory.&#10;A column graph compares expenditure per person across NSW, Vic, Qld, SA, WA, Tas, NT and Total for the financial year of 2023-24 for Local Government.&#10;Per person: NSW $77.24, Vic $95.07, Qld $67.74, SA $114.89, WA $81.10, Tas $40.38, NT $6.49, Total $80.07.">
              <a:extLst xmlns:a="http://schemas.openxmlformats.org/drawingml/2006/main">
                <a:ext uri="{FF2B5EF4-FFF2-40B4-BE49-F238E27FC236}">
                  <a16:creationId xmlns:a16="http://schemas.microsoft.com/office/drawing/2014/main" id="{4E4E6409-B8E8-42CE-99AB-493418818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D3FE7B3" w14:textId="77777777" w:rsidR="00EE4925" w:rsidRPr="00220CF9" w:rsidRDefault="00EE4925" w:rsidP="00EE4925">
      <w:pPr>
        <w:pStyle w:val="Sourcenote"/>
        <w:numPr>
          <w:ilvl w:val="0"/>
          <w:numId w:val="11"/>
        </w:numPr>
        <w:spacing w:after="0"/>
        <w:ind w:left="567" w:hanging="567"/>
        <w:rPr>
          <w:sz w:val="18"/>
          <w:szCs w:val="18"/>
        </w:rPr>
      </w:pPr>
      <w:r w:rsidRPr="00220CF9">
        <w:rPr>
          <w:sz w:val="18"/>
          <w:szCs w:val="18"/>
        </w:rPr>
        <w:t>Care should be taken when comparing expenditure between states and territories due to different administrative arrangements and responsibilities.</w:t>
      </w:r>
    </w:p>
    <w:p w14:paraId="47A8AF3E" w14:textId="77777777" w:rsidR="00EE4925" w:rsidRPr="00220CF9" w:rsidRDefault="00EE4925" w:rsidP="00EE4925">
      <w:pPr>
        <w:pStyle w:val="Sourcenote"/>
        <w:numPr>
          <w:ilvl w:val="0"/>
          <w:numId w:val="11"/>
        </w:numPr>
        <w:ind w:left="567" w:hanging="567"/>
        <w:rPr>
          <w:sz w:val="18"/>
          <w:szCs w:val="18"/>
        </w:rPr>
      </w:pPr>
      <w:r w:rsidRPr="00220CF9">
        <w:rPr>
          <w:sz w:val="18"/>
          <w:szCs w:val="18"/>
        </w:rPr>
        <w:t>Australian Capital Territory does not have local governments.</w:t>
      </w:r>
    </w:p>
    <w:p w14:paraId="6FD3D146" w14:textId="1B083B11" w:rsidR="00F67604" w:rsidRPr="001801A3" w:rsidRDefault="00EE4925" w:rsidP="00EC05C7">
      <w:pPr>
        <w:pStyle w:val="bullet-arrow"/>
      </w:pPr>
      <w:r w:rsidRPr="001801A3">
        <w:t>South Australia had the highest per person expenditure of $</w:t>
      </w:r>
      <w:r w:rsidR="001801A3" w:rsidRPr="001801A3">
        <w:t>114.89</w:t>
      </w:r>
      <w:r w:rsidRPr="001801A3">
        <w:t xml:space="preserve"> followed by Victoria ($</w:t>
      </w:r>
      <w:r w:rsidR="001801A3" w:rsidRPr="001801A3">
        <w:t>95.07</w:t>
      </w:r>
      <w:r w:rsidRPr="001801A3">
        <w:t>) and Western Australian ($</w:t>
      </w:r>
      <w:r w:rsidR="001801A3" w:rsidRPr="001801A3">
        <w:t>81.10</w:t>
      </w:r>
      <w:r w:rsidRPr="001801A3">
        <w:t>).</w:t>
      </w:r>
      <w:bookmarkEnd w:id="4"/>
    </w:p>
    <w:sectPr w:rsidR="00F67604" w:rsidRPr="001801A3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2F360F23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AE569B">
      <w:rPr>
        <w:sz w:val="18"/>
        <w:szCs w:val="18"/>
      </w:rPr>
      <w:t>3</w:t>
    </w:r>
    <w:r>
      <w:t>–</w:t>
    </w:r>
    <w:r>
      <w:rPr>
        <w:sz w:val="18"/>
        <w:szCs w:val="18"/>
      </w:rPr>
      <w:t>2</w:t>
    </w:r>
    <w:r w:rsidR="00AE569B">
      <w:rPr>
        <w:sz w:val="18"/>
        <w:szCs w:val="18"/>
      </w:rPr>
      <w:t>4</w:t>
    </w:r>
    <w:r w:rsidRPr="00CC4247">
      <w:rPr>
        <w:sz w:val="18"/>
        <w:szCs w:val="18"/>
      </w:rPr>
      <w:t>—</w:t>
    </w:r>
    <w:r w:rsidR="00EE4925">
      <w:rPr>
        <w:sz w:val="18"/>
        <w:szCs w:val="18"/>
      </w:rPr>
      <w:t>Local</w:t>
    </w:r>
    <w:r w:rsidRPr="00CC4247">
      <w:rPr>
        <w:sz w:val="18"/>
        <w:szCs w:val="18"/>
      </w:rPr>
      <w:t xml:space="preserve"> </w:t>
    </w:r>
    <w:r w:rsidR="00270065">
      <w:rPr>
        <w:sz w:val="18"/>
        <w:szCs w:val="18"/>
      </w:rPr>
      <w:t>g</w:t>
    </w:r>
    <w:r w:rsidRPr="00CC4247">
      <w:rPr>
        <w:sz w:val="18"/>
        <w:szCs w:val="18"/>
      </w:rPr>
      <w:t>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7FA5E6F3"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AE569B">
      <w:rPr>
        <w:i/>
        <w:iCs/>
        <w:noProof/>
        <w:sz w:val="18"/>
        <w:szCs w:val="18"/>
        <w:lang w:eastAsia="en-AU"/>
      </w:rPr>
      <w:t>3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AE569B">
      <w:rPr>
        <w:i/>
        <w:iCs/>
        <w:noProof/>
        <w:sz w:val="18"/>
        <w:szCs w:val="18"/>
        <w:lang w:eastAsia="en-AU"/>
      </w:rPr>
      <w:t>4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480A4B59" w14:textId="6A42BFD6" w:rsidR="003B6178" w:rsidRPr="003B6178" w:rsidRDefault="003B6178">
      <w:pPr>
        <w:pStyle w:val="FootnoteText"/>
        <w:rPr>
          <w:sz w:val="17"/>
          <w:szCs w:val="17"/>
        </w:rPr>
      </w:pPr>
      <w:r w:rsidRPr="003B6178">
        <w:rPr>
          <w:rStyle w:val="FootnoteReference"/>
          <w:sz w:val="17"/>
          <w:szCs w:val="17"/>
        </w:rPr>
        <w:footnoteRef/>
      </w:r>
      <w:r w:rsidRPr="003B6178">
        <w:rPr>
          <w:sz w:val="17"/>
          <w:szCs w:val="17"/>
        </w:rPr>
        <w:t xml:space="preserve"> No survey was conducted for 2022-23 due to the move to a biennial collection cycle.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2B7FDB89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3FF4341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6319F1EB"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095C7F">
      <w:t>September</w:t>
    </w:r>
    <w:r w:rsidR="00AE569B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750"/>
    <w:multiLevelType w:val="hybridMultilevel"/>
    <w:tmpl w:val="11C616EA"/>
    <w:lvl w:ilvl="0" w:tplc="7848CC9A">
      <w:start w:val="1"/>
      <w:numFmt w:val="bullet"/>
      <w:pStyle w:val="bullet-arrow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B08"/>
    <w:multiLevelType w:val="hybridMultilevel"/>
    <w:tmpl w:val="04940C14"/>
    <w:lvl w:ilvl="0" w:tplc="8D7A26E8">
      <w:start w:val="1"/>
      <w:numFmt w:val="lowerLetter"/>
      <w:lvlText w:val="(%1)"/>
      <w:lvlJc w:val="left"/>
      <w:pPr>
        <w:ind w:left="56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05BCE"/>
    <w:multiLevelType w:val="hybridMultilevel"/>
    <w:tmpl w:val="6B701D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17B07"/>
    <w:multiLevelType w:val="hybridMultilevel"/>
    <w:tmpl w:val="04940C14"/>
    <w:lvl w:ilvl="0" w:tplc="8D7A26E8">
      <w:start w:val="1"/>
      <w:numFmt w:val="lowerLetter"/>
      <w:lvlText w:val="(%1)"/>
      <w:lvlJc w:val="left"/>
      <w:pPr>
        <w:ind w:left="2058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286031D"/>
    <w:multiLevelType w:val="hybridMultilevel"/>
    <w:tmpl w:val="04940C14"/>
    <w:lvl w:ilvl="0" w:tplc="8D7A26E8">
      <w:start w:val="1"/>
      <w:numFmt w:val="lowerLetter"/>
      <w:lvlText w:val="(%1)"/>
      <w:lvlJc w:val="left"/>
      <w:pPr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D5131"/>
    <w:multiLevelType w:val="hybridMultilevel"/>
    <w:tmpl w:val="0DB8CD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24E6D"/>
    <w:rsid w:val="00024EAC"/>
    <w:rsid w:val="00066DCE"/>
    <w:rsid w:val="00070626"/>
    <w:rsid w:val="00095C7F"/>
    <w:rsid w:val="000B27A8"/>
    <w:rsid w:val="0010452B"/>
    <w:rsid w:val="00111A64"/>
    <w:rsid w:val="0012229A"/>
    <w:rsid w:val="00137F21"/>
    <w:rsid w:val="001471EA"/>
    <w:rsid w:val="001472FC"/>
    <w:rsid w:val="001715EF"/>
    <w:rsid w:val="00171E82"/>
    <w:rsid w:val="001736CC"/>
    <w:rsid w:val="001801A3"/>
    <w:rsid w:val="00185E9F"/>
    <w:rsid w:val="0019701B"/>
    <w:rsid w:val="001C7827"/>
    <w:rsid w:val="001D64AC"/>
    <w:rsid w:val="001D7905"/>
    <w:rsid w:val="001E6E9A"/>
    <w:rsid w:val="001F7311"/>
    <w:rsid w:val="002117E6"/>
    <w:rsid w:val="0023201F"/>
    <w:rsid w:val="00233C13"/>
    <w:rsid w:val="0023425A"/>
    <w:rsid w:val="00234C00"/>
    <w:rsid w:val="002352F9"/>
    <w:rsid w:val="0024033A"/>
    <w:rsid w:val="00242B78"/>
    <w:rsid w:val="002454AC"/>
    <w:rsid w:val="00265D2E"/>
    <w:rsid w:val="00270065"/>
    <w:rsid w:val="0027570A"/>
    <w:rsid w:val="00290FEC"/>
    <w:rsid w:val="00293DD6"/>
    <w:rsid w:val="002966CA"/>
    <w:rsid w:val="002A3B4B"/>
    <w:rsid w:val="002A4338"/>
    <w:rsid w:val="002B68C4"/>
    <w:rsid w:val="002C1AD2"/>
    <w:rsid w:val="002C5369"/>
    <w:rsid w:val="002E2477"/>
    <w:rsid w:val="002E46A4"/>
    <w:rsid w:val="002F0402"/>
    <w:rsid w:val="002F3895"/>
    <w:rsid w:val="002F4D31"/>
    <w:rsid w:val="002F5AA1"/>
    <w:rsid w:val="00302513"/>
    <w:rsid w:val="00302C3B"/>
    <w:rsid w:val="00303786"/>
    <w:rsid w:val="00327F06"/>
    <w:rsid w:val="00335334"/>
    <w:rsid w:val="00336DDD"/>
    <w:rsid w:val="0034581A"/>
    <w:rsid w:val="00363704"/>
    <w:rsid w:val="00381364"/>
    <w:rsid w:val="00382743"/>
    <w:rsid w:val="0039108E"/>
    <w:rsid w:val="0039367A"/>
    <w:rsid w:val="003B5B1D"/>
    <w:rsid w:val="003B6178"/>
    <w:rsid w:val="003C385F"/>
    <w:rsid w:val="003C73DB"/>
    <w:rsid w:val="003D142F"/>
    <w:rsid w:val="003E22E8"/>
    <w:rsid w:val="003E78EF"/>
    <w:rsid w:val="003F495D"/>
    <w:rsid w:val="00400E77"/>
    <w:rsid w:val="0041185C"/>
    <w:rsid w:val="00420E56"/>
    <w:rsid w:val="00423090"/>
    <w:rsid w:val="004263FD"/>
    <w:rsid w:val="00426F0B"/>
    <w:rsid w:val="00433E7A"/>
    <w:rsid w:val="00436F4C"/>
    <w:rsid w:val="00450D6E"/>
    <w:rsid w:val="00456F44"/>
    <w:rsid w:val="00467552"/>
    <w:rsid w:val="004755A2"/>
    <w:rsid w:val="00477982"/>
    <w:rsid w:val="004819E5"/>
    <w:rsid w:val="0048626B"/>
    <w:rsid w:val="0048644E"/>
    <w:rsid w:val="004C455C"/>
    <w:rsid w:val="004D0B6D"/>
    <w:rsid w:val="004E59C7"/>
    <w:rsid w:val="004F277D"/>
    <w:rsid w:val="00506643"/>
    <w:rsid w:val="00511810"/>
    <w:rsid w:val="00513330"/>
    <w:rsid w:val="00514C96"/>
    <w:rsid w:val="00526687"/>
    <w:rsid w:val="005377F7"/>
    <w:rsid w:val="00542695"/>
    <w:rsid w:val="00544465"/>
    <w:rsid w:val="00545FEB"/>
    <w:rsid w:val="005579A8"/>
    <w:rsid w:val="00561190"/>
    <w:rsid w:val="00563743"/>
    <w:rsid w:val="005658F1"/>
    <w:rsid w:val="00565B47"/>
    <w:rsid w:val="005741CF"/>
    <w:rsid w:val="00575A5A"/>
    <w:rsid w:val="005932D0"/>
    <w:rsid w:val="00597F9B"/>
    <w:rsid w:val="005B3551"/>
    <w:rsid w:val="005B5842"/>
    <w:rsid w:val="005C7C65"/>
    <w:rsid w:val="005E5090"/>
    <w:rsid w:val="005F23E0"/>
    <w:rsid w:val="00603363"/>
    <w:rsid w:val="00604CE0"/>
    <w:rsid w:val="00605481"/>
    <w:rsid w:val="0061446D"/>
    <w:rsid w:val="00625397"/>
    <w:rsid w:val="00634112"/>
    <w:rsid w:val="0064138E"/>
    <w:rsid w:val="00693994"/>
    <w:rsid w:val="006970A6"/>
    <w:rsid w:val="006A08AD"/>
    <w:rsid w:val="006A2F0E"/>
    <w:rsid w:val="006C2E82"/>
    <w:rsid w:val="006C5A9D"/>
    <w:rsid w:val="006D0316"/>
    <w:rsid w:val="006E0E3A"/>
    <w:rsid w:val="006F06FD"/>
    <w:rsid w:val="0070126E"/>
    <w:rsid w:val="00705B86"/>
    <w:rsid w:val="00705FA6"/>
    <w:rsid w:val="00715D10"/>
    <w:rsid w:val="007260A2"/>
    <w:rsid w:val="007316EF"/>
    <w:rsid w:val="007363E9"/>
    <w:rsid w:val="0074751D"/>
    <w:rsid w:val="00753BB6"/>
    <w:rsid w:val="00774890"/>
    <w:rsid w:val="00780EBF"/>
    <w:rsid w:val="00784F67"/>
    <w:rsid w:val="007869BE"/>
    <w:rsid w:val="007A1BFE"/>
    <w:rsid w:val="007A4B0F"/>
    <w:rsid w:val="007A5DD1"/>
    <w:rsid w:val="00813AD2"/>
    <w:rsid w:val="008169A6"/>
    <w:rsid w:val="0082186E"/>
    <w:rsid w:val="008228E2"/>
    <w:rsid w:val="008247B4"/>
    <w:rsid w:val="00834DE8"/>
    <w:rsid w:val="00842CA0"/>
    <w:rsid w:val="00860C86"/>
    <w:rsid w:val="008646E6"/>
    <w:rsid w:val="00866475"/>
    <w:rsid w:val="00867254"/>
    <w:rsid w:val="00893360"/>
    <w:rsid w:val="008A4B1F"/>
    <w:rsid w:val="008B2A19"/>
    <w:rsid w:val="008B767F"/>
    <w:rsid w:val="008C0B20"/>
    <w:rsid w:val="008C7528"/>
    <w:rsid w:val="008D4E53"/>
    <w:rsid w:val="008D57EA"/>
    <w:rsid w:val="008E3588"/>
    <w:rsid w:val="008F7DE7"/>
    <w:rsid w:val="008F7FA4"/>
    <w:rsid w:val="00912280"/>
    <w:rsid w:val="00927FF3"/>
    <w:rsid w:val="009313D2"/>
    <w:rsid w:val="00932394"/>
    <w:rsid w:val="00937283"/>
    <w:rsid w:val="0094124E"/>
    <w:rsid w:val="00957422"/>
    <w:rsid w:val="009654E0"/>
    <w:rsid w:val="00966C24"/>
    <w:rsid w:val="00992383"/>
    <w:rsid w:val="009B74C6"/>
    <w:rsid w:val="009B7EF0"/>
    <w:rsid w:val="009C01D1"/>
    <w:rsid w:val="009C47F7"/>
    <w:rsid w:val="009C627D"/>
    <w:rsid w:val="009C77AC"/>
    <w:rsid w:val="009D0D57"/>
    <w:rsid w:val="009E12E4"/>
    <w:rsid w:val="00A0554C"/>
    <w:rsid w:val="00A06663"/>
    <w:rsid w:val="00A150F0"/>
    <w:rsid w:val="00A22246"/>
    <w:rsid w:val="00A241FE"/>
    <w:rsid w:val="00A32C57"/>
    <w:rsid w:val="00A35CD0"/>
    <w:rsid w:val="00A44D6C"/>
    <w:rsid w:val="00A57B08"/>
    <w:rsid w:val="00A606B1"/>
    <w:rsid w:val="00A66771"/>
    <w:rsid w:val="00A830DE"/>
    <w:rsid w:val="00A8513B"/>
    <w:rsid w:val="00A91A72"/>
    <w:rsid w:val="00AA38E6"/>
    <w:rsid w:val="00AB3712"/>
    <w:rsid w:val="00AC0B64"/>
    <w:rsid w:val="00AC1A69"/>
    <w:rsid w:val="00AE4C24"/>
    <w:rsid w:val="00AE4F02"/>
    <w:rsid w:val="00AE569B"/>
    <w:rsid w:val="00AF5FC0"/>
    <w:rsid w:val="00B049A4"/>
    <w:rsid w:val="00B04E5C"/>
    <w:rsid w:val="00B06311"/>
    <w:rsid w:val="00B0756B"/>
    <w:rsid w:val="00B1045C"/>
    <w:rsid w:val="00B32DA1"/>
    <w:rsid w:val="00B41F58"/>
    <w:rsid w:val="00B421CC"/>
    <w:rsid w:val="00B43B95"/>
    <w:rsid w:val="00B43C56"/>
    <w:rsid w:val="00B54081"/>
    <w:rsid w:val="00B55747"/>
    <w:rsid w:val="00B6522E"/>
    <w:rsid w:val="00B704AE"/>
    <w:rsid w:val="00B723E4"/>
    <w:rsid w:val="00B93737"/>
    <w:rsid w:val="00B945EA"/>
    <w:rsid w:val="00B96893"/>
    <w:rsid w:val="00BA0A5A"/>
    <w:rsid w:val="00BC0D30"/>
    <w:rsid w:val="00BC329E"/>
    <w:rsid w:val="00BC4BB1"/>
    <w:rsid w:val="00BC7D72"/>
    <w:rsid w:val="00BE1F34"/>
    <w:rsid w:val="00BE7E66"/>
    <w:rsid w:val="00C16794"/>
    <w:rsid w:val="00C22A66"/>
    <w:rsid w:val="00C240E2"/>
    <w:rsid w:val="00C3695F"/>
    <w:rsid w:val="00C43AEF"/>
    <w:rsid w:val="00C451EE"/>
    <w:rsid w:val="00C55F55"/>
    <w:rsid w:val="00C73C00"/>
    <w:rsid w:val="00C87B37"/>
    <w:rsid w:val="00CC4247"/>
    <w:rsid w:val="00CC75CC"/>
    <w:rsid w:val="00CD0CB6"/>
    <w:rsid w:val="00CD5C1E"/>
    <w:rsid w:val="00CE07F2"/>
    <w:rsid w:val="00CE55D5"/>
    <w:rsid w:val="00CE5C90"/>
    <w:rsid w:val="00D03AE2"/>
    <w:rsid w:val="00D14C03"/>
    <w:rsid w:val="00D24EF7"/>
    <w:rsid w:val="00D26737"/>
    <w:rsid w:val="00D44042"/>
    <w:rsid w:val="00D47936"/>
    <w:rsid w:val="00D521E7"/>
    <w:rsid w:val="00D628D9"/>
    <w:rsid w:val="00D746E5"/>
    <w:rsid w:val="00D75357"/>
    <w:rsid w:val="00D8616D"/>
    <w:rsid w:val="00D86CAA"/>
    <w:rsid w:val="00D92957"/>
    <w:rsid w:val="00DA3DA0"/>
    <w:rsid w:val="00DB4FA3"/>
    <w:rsid w:val="00DB5038"/>
    <w:rsid w:val="00DB7840"/>
    <w:rsid w:val="00DC17B6"/>
    <w:rsid w:val="00DC2DFA"/>
    <w:rsid w:val="00DC49DB"/>
    <w:rsid w:val="00DC66E7"/>
    <w:rsid w:val="00DC6A98"/>
    <w:rsid w:val="00DD4ACA"/>
    <w:rsid w:val="00DD5D52"/>
    <w:rsid w:val="00E03DF5"/>
    <w:rsid w:val="00E0610E"/>
    <w:rsid w:val="00E06D3D"/>
    <w:rsid w:val="00E07FEC"/>
    <w:rsid w:val="00E23218"/>
    <w:rsid w:val="00E42F9F"/>
    <w:rsid w:val="00E51D5C"/>
    <w:rsid w:val="00E67C64"/>
    <w:rsid w:val="00E71039"/>
    <w:rsid w:val="00E76886"/>
    <w:rsid w:val="00E819BF"/>
    <w:rsid w:val="00E8280E"/>
    <w:rsid w:val="00E85276"/>
    <w:rsid w:val="00E855CD"/>
    <w:rsid w:val="00E92EB5"/>
    <w:rsid w:val="00E97404"/>
    <w:rsid w:val="00EA2F26"/>
    <w:rsid w:val="00EA5BA4"/>
    <w:rsid w:val="00EA6D34"/>
    <w:rsid w:val="00EB40A5"/>
    <w:rsid w:val="00ED0A4F"/>
    <w:rsid w:val="00EE10AB"/>
    <w:rsid w:val="00EE4925"/>
    <w:rsid w:val="00EE5043"/>
    <w:rsid w:val="00EE7759"/>
    <w:rsid w:val="00EF05C9"/>
    <w:rsid w:val="00EF213E"/>
    <w:rsid w:val="00EF61B4"/>
    <w:rsid w:val="00F02CC1"/>
    <w:rsid w:val="00F239E3"/>
    <w:rsid w:val="00F242E6"/>
    <w:rsid w:val="00F3567E"/>
    <w:rsid w:val="00F408EE"/>
    <w:rsid w:val="00F56262"/>
    <w:rsid w:val="00F60AC2"/>
    <w:rsid w:val="00F67604"/>
    <w:rsid w:val="00F701E3"/>
    <w:rsid w:val="00F7051B"/>
    <w:rsid w:val="00F73673"/>
    <w:rsid w:val="00F86DEA"/>
    <w:rsid w:val="00F9394E"/>
    <w:rsid w:val="00F9793C"/>
    <w:rsid w:val="00FB7FDD"/>
    <w:rsid w:val="00FC0C98"/>
    <w:rsid w:val="00FC16F3"/>
    <w:rsid w:val="00FC2CDB"/>
    <w:rsid w:val="00FC5720"/>
    <w:rsid w:val="00FE3092"/>
    <w:rsid w:val="00FE694F"/>
    <w:rsid w:val="00FE6B97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paragraph" w:customStyle="1" w:styleId="bullet-arrow">
    <w:name w:val="bullet - arrow"/>
    <w:basedOn w:val="Bulletlevel1"/>
    <w:qFormat/>
    <w:rsid w:val="00EE4925"/>
    <w:pPr>
      <w:numPr>
        <w:numId w:val="12"/>
      </w:numPr>
      <w:ind w:left="567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513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orp\absdfs\workgroup\NCE&amp;T\SURVEYS\Culture\Cultural%20Funding%20by%20Governments%20Survey\2023-24%20Survey\1.%20Working%20files\10%20-%20Other\Local%20govt\CF%20LG%20Analysis%202023-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orp\absdfs\workgroup\NCE&amp;T\SURVEYS\Culture\Cultural%20Funding%20by%20Governments%20Survey\2023-24%20Survey\1.%20Working%20files\10%20-%20Other\Local%20govt\CF%20LG%20Analysis%202023-2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corp\absdfs\workgroup\NCE&amp;T\SURVEYS\Culture\Cultural%20Funding%20by%20Governments%20Survey\2023-24%20Survey\1.%20Working%20files\10%20-%20Other\Local%20govt\CF%20LG%20Analysis%202023-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1541342552578508"/>
          <c:h val="0.814310251320944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'2023-24'!$B$33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'2023-24'!$A$34:$A$40</c:f>
              <c:strCache>
                <c:ptCount val="7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</c:strCache>
            </c:strRef>
          </c:cat>
          <c:val>
            <c:numRef>
              <c:f>'2023-24'!$B$34:$B$40</c:f>
              <c:numCache>
                <c:formatCode>0.0</c:formatCode>
                <c:ptCount val="7"/>
                <c:pt idx="0">
                  <c:v>536</c:v>
                </c:pt>
                <c:pt idx="1">
                  <c:v>509</c:v>
                </c:pt>
                <c:pt idx="2">
                  <c:v>340.1</c:v>
                </c:pt>
                <c:pt idx="3">
                  <c:v>171.5</c:v>
                </c:pt>
                <c:pt idx="4">
                  <c:v>200.6</c:v>
                </c:pt>
                <c:pt idx="5">
                  <c:v>25.1</c:v>
                </c:pt>
                <c:pt idx="6">
                  <c:v>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05-4E61-8F0E-53AC390D3A6C}"/>
            </c:ext>
          </c:extLst>
        </c:ser>
        <c:ser>
          <c:idx val="1"/>
          <c:order val="1"/>
          <c:tx>
            <c:strRef>
              <c:f>'2023-24'!$C$33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'2023-24'!$A$34:$A$40</c:f>
              <c:strCache>
                <c:ptCount val="7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</c:strCache>
            </c:strRef>
          </c:cat>
          <c:val>
            <c:numRef>
              <c:f>'2023-24'!$C$34:$C$40</c:f>
              <c:numCache>
                <c:formatCode>0.0</c:formatCode>
                <c:ptCount val="7"/>
                <c:pt idx="0">
                  <c:v>555.4</c:v>
                </c:pt>
                <c:pt idx="1">
                  <c:v>543.20000000000005</c:v>
                </c:pt>
                <c:pt idx="2">
                  <c:v>331.5</c:v>
                </c:pt>
                <c:pt idx="3">
                  <c:v>175.8</c:v>
                </c:pt>
                <c:pt idx="4">
                  <c:v>200.5</c:v>
                </c:pt>
                <c:pt idx="5">
                  <c:v>17</c:v>
                </c:pt>
                <c:pt idx="6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05-4E61-8F0E-53AC390D3A6C}"/>
            </c:ext>
          </c:extLst>
        </c:ser>
        <c:ser>
          <c:idx val="2"/>
          <c:order val="2"/>
          <c:tx>
            <c:strRef>
              <c:f>'2023-24'!$D$33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'2023-24'!$A$34:$A$40</c:f>
              <c:strCache>
                <c:ptCount val="7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</c:strCache>
            </c:strRef>
          </c:cat>
          <c:val>
            <c:numRef>
              <c:f>'2023-24'!$D$34:$D$40</c:f>
              <c:numCache>
                <c:formatCode>0.0</c:formatCode>
                <c:ptCount val="7"/>
                <c:pt idx="0">
                  <c:v>650.5</c:v>
                </c:pt>
                <c:pt idx="1">
                  <c:v>656</c:v>
                </c:pt>
                <c:pt idx="2">
                  <c:v>374.4</c:v>
                </c:pt>
                <c:pt idx="3">
                  <c:v>214.4</c:v>
                </c:pt>
                <c:pt idx="4">
                  <c:v>237.5</c:v>
                </c:pt>
                <c:pt idx="5">
                  <c:v>23.2</c:v>
                </c:pt>
                <c:pt idx="6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05-4E61-8F0E-53AC390D3A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2986112"/>
        <c:axId val="232987648"/>
      </c:barChart>
      <c:catAx>
        <c:axId val="23298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87648"/>
        <c:crosses val="autoZero"/>
        <c:auto val="1"/>
        <c:lblAlgn val="ctr"/>
        <c:lblOffset val="100"/>
        <c:noMultiLvlLbl val="0"/>
      </c:catAx>
      <c:valAx>
        <c:axId val="23298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8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8785824307172869"/>
          <c:y val="5.6072294191718601E-2"/>
          <c:w val="0.15110665388534239"/>
          <c:h val="0.170798702245552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816643057381198E-2"/>
          <c:y val="0.10801062711197798"/>
          <c:w val="0.89358827107713645"/>
          <c:h val="0.801251822688830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'2023-24'!$B$45</c:f>
              <c:strCache>
                <c:ptCount val="1"/>
                <c:pt idx="0">
                  <c:v>Recurrent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'2023-24'!$A$46:$A$52</c:f>
              <c:strCache>
                <c:ptCount val="7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</c:strCache>
            </c:strRef>
          </c:cat>
          <c:val>
            <c:numRef>
              <c:f>'2023-24'!$B$46:$B$52</c:f>
              <c:numCache>
                <c:formatCode>#,##0.0</c:formatCode>
                <c:ptCount val="7"/>
                <c:pt idx="0">
                  <c:v>562.4</c:v>
                </c:pt>
                <c:pt idx="1">
                  <c:v>514</c:v>
                </c:pt>
                <c:pt idx="2">
                  <c:v>331.5</c:v>
                </c:pt>
                <c:pt idx="3">
                  <c:v>181.8</c:v>
                </c:pt>
                <c:pt idx="4">
                  <c:v>216.7</c:v>
                </c:pt>
                <c:pt idx="5">
                  <c:v>20.2</c:v>
                </c:pt>
                <c:pt idx="6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2E-4ECA-AB7D-3B205505908D}"/>
            </c:ext>
          </c:extLst>
        </c:ser>
        <c:ser>
          <c:idx val="1"/>
          <c:order val="1"/>
          <c:tx>
            <c:strRef>
              <c:f>'2023-24'!$C$45</c:f>
              <c:strCache>
                <c:ptCount val="1"/>
                <c:pt idx="0">
                  <c:v>Capital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'2023-24'!$A$46:$A$52</c:f>
              <c:strCache>
                <c:ptCount val="7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</c:strCache>
            </c:strRef>
          </c:cat>
          <c:val>
            <c:numRef>
              <c:f>'2023-24'!$C$46:$C$52</c:f>
              <c:numCache>
                <c:formatCode>#,##0.0</c:formatCode>
                <c:ptCount val="7"/>
                <c:pt idx="0">
                  <c:v>88.1</c:v>
                </c:pt>
                <c:pt idx="1">
                  <c:v>142.1</c:v>
                </c:pt>
                <c:pt idx="2">
                  <c:v>42.9</c:v>
                </c:pt>
                <c:pt idx="3">
                  <c:v>32.700000000000003</c:v>
                </c:pt>
                <c:pt idx="4">
                  <c:v>20.9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2E-4ECA-AB7D-3B2055059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3039360"/>
        <c:axId val="233040896"/>
      </c:barChart>
      <c:catAx>
        <c:axId val="23303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040896"/>
        <c:crosses val="autoZero"/>
        <c:auto val="1"/>
        <c:lblAlgn val="ctr"/>
        <c:lblOffset val="100"/>
        <c:noMultiLvlLbl val="0"/>
      </c:catAx>
      <c:valAx>
        <c:axId val="23304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039360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1754601684179151"/>
          <c:y val="6.1041848935549724E-2"/>
          <c:w val="0.15110665388534239"/>
          <c:h val="0.110613517060367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809136045494313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'2023-24'!$B$59</c:f>
              <c:strCache>
                <c:ptCount val="1"/>
                <c:pt idx="0">
                  <c:v>Per Person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'2023-24'!$A$60:$A$67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Total</c:v>
                </c:pt>
              </c:strCache>
            </c:strRef>
          </c:cat>
          <c:val>
            <c:numRef>
              <c:f>'2023-24'!$B$60:$B$67</c:f>
              <c:numCache>
                <c:formatCode>0.00</c:formatCode>
                <c:ptCount val="8"/>
                <c:pt idx="0">
                  <c:v>77.239999999999995</c:v>
                </c:pt>
                <c:pt idx="1">
                  <c:v>95.07</c:v>
                </c:pt>
                <c:pt idx="2">
                  <c:v>67.739999999999995</c:v>
                </c:pt>
                <c:pt idx="3">
                  <c:v>114.89</c:v>
                </c:pt>
                <c:pt idx="4">
                  <c:v>81.099999999999994</c:v>
                </c:pt>
                <c:pt idx="5">
                  <c:v>40.380000000000003</c:v>
                </c:pt>
                <c:pt idx="6">
                  <c:v>6.49</c:v>
                </c:pt>
                <c:pt idx="7">
                  <c:v>80.069999999999993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9A-4722-8B93-15912BD6B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6040576"/>
        <c:axId val="236042112"/>
      </c:barChart>
      <c:catAx>
        <c:axId val="23604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6042112"/>
        <c:crosses val="autoZero"/>
        <c:auto val="1"/>
        <c:lblAlgn val="ctr"/>
        <c:lblOffset val="100"/>
        <c:noMultiLvlLbl val="0"/>
      </c:catAx>
      <c:valAx>
        <c:axId val="236042112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latin typeface="+mn-lt"/>
                  </a:rPr>
                  <a:t>$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604057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059E-8190-4E7C-BB13-54560718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2025-09-09T01:25:00Z</dcterms:created>
  <dcterms:modified xsi:type="dcterms:W3CDTF">2025-09-10T00:40:00Z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2025-06-27T04:49:43Z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42e448c2-5459-4dbf-b683-61363e2abf72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