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237CF" w14:textId="07871BF3" w:rsidR="0094124E" w:rsidRDefault="00CD5C1E" w:rsidP="0094124E">
      <w:pPr>
        <w:ind w:left="-1418"/>
      </w:pPr>
      <w:r>
        <w:rPr>
          <w:noProof/>
        </w:rPr>
        <w:drawing>
          <wp:inline distT="0" distB="0" distL="0" distR="0" wp14:anchorId="0B2096A5" wp14:editId="00E7133E">
            <wp:extent cx="7645481" cy="1400175"/>
            <wp:effectExtent l="0" t="0" r="0" b="0"/>
            <wp:docPr id="11" name="Picture 1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 rectangle&#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726221" cy="1414962"/>
                    </a:xfrm>
                    <a:prstGeom prst="rect">
                      <a:avLst/>
                    </a:prstGeom>
                    <a:noFill/>
                    <a:ln>
                      <a:noFill/>
                    </a:ln>
                  </pic:spPr>
                </pic:pic>
              </a:graphicData>
            </a:graphic>
          </wp:inline>
        </w:drawing>
      </w:r>
    </w:p>
    <w:p w14:paraId="2AD3B10E" w14:textId="77777777" w:rsidR="00FC16F3" w:rsidRDefault="00FC16F3" w:rsidP="0094124E">
      <w:pPr>
        <w:ind w:left="-1418"/>
        <w:sectPr w:rsidR="00FC16F3" w:rsidSect="00477982">
          <w:headerReference w:type="even" r:id="rId10"/>
          <w:headerReference w:type="default" r:id="rId11"/>
          <w:footerReference w:type="even" r:id="rId12"/>
          <w:footerReference w:type="default" r:id="rId13"/>
          <w:footerReference w:type="first" r:id="rId14"/>
          <w:type w:val="continuous"/>
          <w:pgSz w:w="11906" w:h="16838"/>
          <w:pgMar w:top="0" w:right="1440" w:bottom="1440" w:left="1440" w:header="0" w:footer="0" w:gutter="0"/>
          <w:cols w:space="708"/>
          <w:titlePg/>
          <w:docGrid w:linePitch="360"/>
        </w:sectPr>
      </w:pPr>
    </w:p>
    <w:p w14:paraId="163C2A0C" w14:textId="0B9ECDBA" w:rsidR="002117E6" w:rsidRDefault="001D64AC" w:rsidP="00477982">
      <w:pPr>
        <w:pStyle w:val="Heading1"/>
      </w:pPr>
      <w:r>
        <w:t>Cultural Funding by Government—</w:t>
      </w:r>
      <w:r w:rsidR="0070126E">
        <w:t>202</w:t>
      </w:r>
      <w:r w:rsidR="00E87F6E">
        <w:t>3</w:t>
      </w:r>
      <w:r w:rsidR="0070126E">
        <w:t>–2</w:t>
      </w:r>
      <w:r w:rsidR="00E87F6E">
        <w:t>4</w:t>
      </w:r>
    </w:p>
    <w:p w14:paraId="07F03E73" w14:textId="77777777" w:rsidR="00DE1740" w:rsidRDefault="00DE1740" w:rsidP="00DE1740">
      <w:pPr>
        <w:pStyle w:val="Heading2"/>
      </w:pPr>
      <w:r>
        <w:rPr>
          <w:szCs w:val="36"/>
        </w:rPr>
        <w:t xml:space="preserve">New South Wales </w:t>
      </w:r>
      <w:r w:rsidRPr="00527D9C">
        <w:rPr>
          <w:szCs w:val="36"/>
        </w:rPr>
        <w:t>Government</w:t>
      </w:r>
    </w:p>
    <w:p w14:paraId="26987B40" w14:textId="55DFA276" w:rsidR="00DE1740" w:rsidRPr="00384837" w:rsidRDefault="00DE1740" w:rsidP="00DE1740">
      <w:r w:rsidRPr="00384837">
        <w:t>The estimate of expenditure funded by the New South Wales Government in 202</w:t>
      </w:r>
      <w:r w:rsidR="00E87F6E">
        <w:t>3</w:t>
      </w:r>
      <w:r w:rsidRPr="00384837">
        <w:t>–2</w:t>
      </w:r>
      <w:r w:rsidR="00E87F6E">
        <w:t>4</w:t>
      </w:r>
      <w:r w:rsidRPr="00384837">
        <w:t xml:space="preserve"> for cultural activities was </w:t>
      </w:r>
      <w:r w:rsidRPr="00D849E8">
        <w:rPr>
          <w:b/>
        </w:rPr>
        <w:t>$</w:t>
      </w:r>
      <w:r w:rsidR="00D849E8" w:rsidRPr="00D849E8">
        <w:rPr>
          <w:b/>
        </w:rPr>
        <w:t>1,010.5</w:t>
      </w:r>
      <w:r w:rsidRPr="00D849E8">
        <w:rPr>
          <w:b/>
        </w:rPr>
        <w:t>m</w:t>
      </w:r>
      <w:r w:rsidRPr="00384837">
        <w:t xml:space="preserve">. This represented a </w:t>
      </w:r>
      <w:r w:rsidR="00D849E8">
        <w:t>decrease</w:t>
      </w:r>
      <w:r w:rsidRPr="00384837">
        <w:t xml:space="preserve"> of </w:t>
      </w:r>
      <w:r w:rsidR="00D849E8" w:rsidRPr="00DC6B7D">
        <w:t>13</w:t>
      </w:r>
      <w:r w:rsidRPr="00DC6B7D">
        <w:t>% or $</w:t>
      </w:r>
      <w:r w:rsidR="00D849E8" w:rsidRPr="00DC6B7D">
        <w:t>149.1</w:t>
      </w:r>
      <w:r w:rsidRPr="00DC6B7D">
        <w:t>m</w:t>
      </w:r>
      <w:r w:rsidRPr="00384837">
        <w:t xml:space="preserve"> from 202</w:t>
      </w:r>
      <w:r w:rsidR="00E87F6E">
        <w:t>1</w:t>
      </w:r>
      <w:r w:rsidRPr="00384837">
        <w:t>–2</w:t>
      </w:r>
      <w:r w:rsidR="00E87F6E">
        <w:t>2</w:t>
      </w:r>
      <w:r w:rsidRPr="00384837">
        <w:t xml:space="preserve">. </w:t>
      </w:r>
      <w:r w:rsidR="00B57415">
        <w:t>This decrease</w:t>
      </w:r>
      <w:r w:rsidR="00B57415" w:rsidRPr="00B57415">
        <w:rPr>
          <w:b/>
          <w:bCs/>
        </w:rPr>
        <w:t xml:space="preserve"> </w:t>
      </w:r>
      <w:r w:rsidR="00B57415" w:rsidRPr="001A5AA9">
        <w:t>is</w:t>
      </w:r>
      <w:r w:rsidR="00B57415">
        <w:t xml:space="preserve"> mainly</w:t>
      </w:r>
      <w:r w:rsidR="00B57415" w:rsidRPr="001A5AA9">
        <w:t xml:space="preserve"> attributable to</w:t>
      </w:r>
      <w:r w:rsidR="00B57415">
        <w:t xml:space="preserve"> </w:t>
      </w:r>
      <w:r w:rsidR="00B57415" w:rsidRPr="00B57415">
        <w:t>specific COVID support expenditure for cultural and creative activities</w:t>
      </w:r>
      <w:r w:rsidR="00B57415">
        <w:t xml:space="preserve"> </w:t>
      </w:r>
      <w:r w:rsidR="00B57415" w:rsidRPr="001A5AA9">
        <w:t>that</w:t>
      </w:r>
      <w:r w:rsidR="00B57415">
        <w:t xml:space="preserve"> </w:t>
      </w:r>
      <w:r w:rsidR="00B57415" w:rsidRPr="001A5AA9">
        <w:t>was part of the collections in 2020</w:t>
      </w:r>
      <w:r w:rsidR="00151F17" w:rsidRPr="00384837">
        <w:t>–</w:t>
      </w:r>
      <w:r w:rsidR="00B57415" w:rsidRPr="001A5AA9">
        <w:t>21 and 2021</w:t>
      </w:r>
      <w:r w:rsidR="00151F17" w:rsidRPr="00384837">
        <w:t>–</w:t>
      </w:r>
      <w:r w:rsidR="00B57415" w:rsidRPr="001A5AA9">
        <w:t xml:space="preserve">22 </w:t>
      </w:r>
      <w:r w:rsidR="00E1497A">
        <w:t>but</w:t>
      </w:r>
      <w:r w:rsidR="00B57415">
        <w:t xml:space="preserve"> </w:t>
      </w:r>
      <w:r w:rsidR="00B57415" w:rsidRPr="001A5AA9">
        <w:t>had</w:t>
      </w:r>
      <w:r w:rsidR="00B57415">
        <w:t xml:space="preserve"> </w:t>
      </w:r>
      <w:r w:rsidR="00B57415" w:rsidRPr="00B57415">
        <w:t>ceased prior to the 2023</w:t>
      </w:r>
      <w:r w:rsidR="00AC2BA3" w:rsidRPr="00384837">
        <w:t>–</w:t>
      </w:r>
      <w:r w:rsidR="00B57415" w:rsidRPr="00B57415">
        <w:t>24 collection</w:t>
      </w:r>
      <w:r w:rsidR="00B57415">
        <w:t xml:space="preserve">. </w:t>
      </w:r>
    </w:p>
    <w:p w14:paraId="42BD05F0" w14:textId="724ECFE7" w:rsidR="00DE1740" w:rsidRPr="00200621" w:rsidRDefault="00DE1740" w:rsidP="00DE1740">
      <w:pPr>
        <w:pStyle w:val="Tablefigureheading"/>
      </w:pPr>
      <w:r w:rsidRPr="00200621">
        <w:t xml:space="preserve">Table 1. </w:t>
      </w:r>
      <w:r w:rsidR="00AA05B8">
        <w:t>NSW</w:t>
      </w:r>
      <w:r w:rsidRPr="00200621">
        <w:t xml:space="preserve"> Government cultural expenditure, 20</w:t>
      </w:r>
      <w:r w:rsidR="00E87F6E">
        <w:t>20</w:t>
      </w:r>
      <w:r w:rsidRPr="00200621">
        <w:t>–2</w:t>
      </w:r>
      <w:r w:rsidR="00E87F6E">
        <w:t>1</w:t>
      </w:r>
      <w:r w:rsidRPr="00200621">
        <w:t xml:space="preserve"> to 202</w:t>
      </w:r>
      <w:r w:rsidR="00E87F6E">
        <w:t>3</w:t>
      </w:r>
      <w:r w:rsidRPr="00200621">
        <w:t>–2</w:t>
      </w:r>
      <w:r w:rsidR="00E87F6E">
        <w:t>4</w:t>
      </w:r>
      <w:r w:rsidR="00CB2803">
        <w:rPr>
          <w:rStyle w:val="FootnoteReference"/>
        </w:rPr>
        <w:footnoteReference w:id="1"/>
      </w:r>
    </w:p>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1—New South Wales Government cultural expenditure, 2015-16 to 2017-18."/>
      </w:tblPr>
      <w:tblGrid>
        <w:gridCol w:w="1168"/>
        <w:gridCol w:w="1985"/>
        <w:gridCol w:w="1984"/>
      </w:tblGrid>
      <w:tr w:rsidR="00DE1740" w:rsidRPr="00616B42" w14:paraId="61BF26C5" w14:textId="77777777" w:rsidTr="006133D6">
        <w:trPr>
          <w:cantSplit/>
          <w:tblHeader/>
        </w:trPr>
        <w:tc>
          <w:tcPr>
            <w:tcW w:w="1168" w:type="dxa"/>
            <w:tcBorders>
              <w:top w:val="nil"/>
              <w:left w:val="nil"/>
              <w:bottom w:val="thickThinLargeGap" w:sz="24" w:space="0" w:color="auto"/>
              <w:right w:val="nil"/>
            </w:tcBorders>
            <w:shd w:val="clear" w:color="auto" w:fill="C3AFF7"/>
          </w:tcPr>
          <w:p w14:paraId="6899B129" w14:textId="7A671A6A" w:rsidR="00DE1740" w:rsidRPr="00384837" w:rsidRDefault="00E87F6E" w:rsidP="00914F88">
            <w:pPr>
              <w:pStyle w:val="Tablerowcolumnheadingcentred"/>
            </w:pPr>
            <w:r w:rsidRPr="00384837">
              <w:t>202</w:t>
            </w:r>
            <w:r w:rsidR="0019099B">
              <w:t>0</w:t>
            </w:r>
            <w:r w:rsidRPr="00384837">
              <w:t>–2</w:t>
            </w:r>
            <w:r w:rsidR="0019099B">
              <w:t>1</w:t>
            </w:r>
            <w:r w:rsidRPr="00384837">
              <w:rPr>
                <w:rStyle w:val="FootnoteReference"/>
              </w:rPr>
              <w:footnoteReference w:id="2"/>
            </w:r>
          </w:p>
        </w:tc>
        <w:tc>
          <w:tcPr>
            <w:tcW w:w="1985" w:type="dxa"/>
            <w:tcBorders>
              <w:top w:val="nil"/>
              <w:left w:val="nil"/>
              <w:bottom w:val="thickThinLargeGap" w:sz="24" w:space="0" w:color="auto"/>
              <w:right w:val="nil"/>
            </w:tcBorders>
            <w:shd w:val="clear" w:color="auto" w:fill="C3AFF7"/>
          </w:tcPr>
          <w:p w14:paraId="6B2E5E17" w14:textId="457C093E" w:rsidR="00DE1740" w:rsidRPr="00384837" w:rsidRDefault="00E87F6E" w:rsidP="00914F88">
            <w:pPr>
              <w:pStyle w:val="Tablerowcolumnheadingcentred"/>
            </w:pPr>
            <w:r w:rsidRPr="00384837">
              <w:t>2021–22</w:t>
            </w:r>
            <w:r w:rsidRPr="00384837">
              <w:rPr>
                <w:rStyle w:val="FootnoteReference"/>
              </w:rPr>
              <w:footnoteReference w:id="3"/>
            </w:r>
          </w:p>
        </w:tc>
        <w:tc>
          <w:tcPr>
            <w:tcW w:w="1984" w:type="dxa"/>
            <w:tcBorders>
              <w:top w:val="nil"/>
              <w:left w:val="nil"/>
              <w:bottom w:val="thickThinLargeGap" w:sz="24" w:space="0" w:color="auto"/>
              <w:right w:val="nil"/>
            </w:tcBorders>
            <w:shd w:val="clear" w:color="auto" w:fill="C3AFF7"/>
          </w:tcPr>
          <w:p w14:paraId="6CDC7D48" w14:textId="25AB762E" w:rsidR="00DE1740" w:rsidRPr="00384837" w:rsidRDefault="00E87F6E" w:rsidP="00914F88">
            <w:pPr>
              <w:pStyle w:val="Tablerowcolumnheadingcentred"/>
            </w:pPr>
            <w:r>
              <w:t>2023</w:t>
            </w:r>
            <w:r w:rsidR="0002648D" w:rsidRPr="00384837">
              <w:t>–</w:t>
            </w:r>
            <w:r>
              <w:t>24</w:t>
            </w:r>
          </w:p>
        </w:tc>
      </w:tr>
      <w:tr w:rsidR="00DE1740" w:rsidRPr="00616B42" w14:paraId="3E5BFAD6" w14:textId="77777777" w:rsidTr="00DC6B7D">
        <w:trPr>
          <w:cantSplit/>
        </w:trPr>
        <w:tc>
          <w:tcPr>
            <w:tcW w:w="1168" w:type="dxa"/>
            <w:tcBorders>
              <w:top w:val="single" w:sz="4" w:space="0" w:color="auto"/>
              <w:left w:val="nil"/>
              <w:bottom w:val="single" w:sz="12" w:space="0" w:color="auto"/>
              <w:right w:val="nil"/>
            </w:tcBorders>
          </w:tcPr>
          <w:p w14:paraId="7D3F37E4" w14:textId="53CDAAE1" w:rsidR="00DE1740" w:rsidRPr="00384837" w:rsidRDefault="00E87F6E" w:rsidP="00914F88">
            <w:pPr>
              <w:pStyle w:val="Tabletext"/>
              <w:jc w:val="center"/>
            </w:pPr>
            <w:r w:rsidRPr="00384837">
              <w:t>$906.4m</w:t>
            </w:r>
          </w:p>
        </w:tc>
        <w:tc>
          <w:tcPr>
            <w:tcW w:w="1985" w:type="dxa"/>
            <w:tcBorders>
              <w:top w:val="single" w:sz="4" w:space="0" w:color="auto"/>
              <w:left w:val="nil"/>
              <w:bottom w:val="single" w:sz="12" w:space="0" w:color="auto"/>
              <w:right w:val="nil"/>
            </w:tcBorders>
          </w:tcPr>
          <w:p w14:paraId="7D502E58" w14:textId="5112E895" w:rsidR="00DE1740" w:rsidRPr="00384837" w:rsidRDefault="00E87F6E" w:rsidP="00914F88">
            <w:pPr>
              <w:pStyle w:val="Tabletextcentred"/>
            </w:pPr>
            <w:r w:rsidRPr="00384837">
              <w:t>$1,159.6m ↑28%</w:t>
            </w:r>
          </w:p>
        </w:tc>
        <w:tc>
          <w:tcPr>
            <w:tcW w:w="1984" w:type="dxa"/>
            <w:tcBorders>
              <w:top w:val="single" w:sz="4" w:space="0" w:color="auto"/>
              <w:left w:val="nil"/>
              <w:bottom w:val="single" w:sz="12" w:space="0" w:color="auto"/>
              <w:right w:val="nil"/>
            </w:tcBorders>
            <w:shd w:val="clear" w:color="auto" w:fill="auto"/>
          </w:tcPr>
          <w:p w14:paraId="080EE460" w14:textId="779B60C5" w:rsidR="00DE1740" w:rsidRPr="00E87F6E" w:rsidRDefault="00E87F6E" w:rsidP="00914F88">
            <w:pPr>
              <w:pStyle w:val="Tabletextcentred"/>
              <w:rPr>
                <w:highlight w:val="yellow"/>
              </w:rPr>
            </w:pPr>
            <w:r w:rsidRPr="00DC6B7D">
              <w:t>$1</w:t>
            </w:r>
            <w:r w:rsidR="00386D19">
              <w:t>,010</w:t>
            </w:r>
            <w:r w:rsidRPr="00DC6B7D">
              <w:t>.</w:t>
            </w:r>
            <w:r w:rsidR="00386D19">
              <w:t>5</w:t>
            </w:r>
            <w:r w:rsidRPr="00DC6B7D">
              <w:t xml:space="preserve">m </w:t>
            </w:r>
            <w:r w:rsidR="00DC6B7D" w:rsidRPr="00DC6B7D">
              <w:rPr>
                <w:rFonts w:cstheme="minorHAnsi"/>
              </w:rPr>
              <w:t>↓</w:t>
            </w:r>
            <w:r w:rsidR="00DC6B7D" w:rsidRPr="00DC6B7D">
              <w:t>13</w:t>
            </w:r>
            <w:r w:rsidRPr="00DC6B7D">
              <w:t>%</w:t>
            </w:r>
          </w:p>
        </w:tc>
      </w:tr>
    </w:tbl>
    <w:p w14:paraId="69B2B3EA" w14:textId="06943E68" w:rsidR="00DE1740" w:rsidRPr="00384837" w:rsidRDefault="00DE1740" w:rsidP="00DE1740">
      <w:pPr>
        <w:pStyle w:val="ListParagraph"/>
        <w:numPr>
          <w:ilvl w:val="0"/>
          <w:numId w:val="6"/>
        </w:numPr>
        <w:spacing w:before="240"/>
        <w:ind w:left="567" w:hanging="567"/>
      </w:pPr>
      <w:r w:rsidRPr="00384837">
        <w:t xml:space="preserve">Recurrent expenses accounted for </w:t>
      </w:r>
      <w:r w:rsidR="00141567" w:rsidRPr="00141567">
        <w:t>62</w:t>
      </w:r>
      <w:r w:rsidRPr="00141567">
        <w:t>% ($</w:t>
      </w:r>
      <w:r w:rsidR="00141567" w:rsidRPr="00141567">
        <w:t>629.3</w:t>
      </w:r>
      <w:r w:rsidRPr="00141567">
        <w:t>m</w:t>
      </w:r>
      <w:r w:rsidRPr="00384837">
        <w:t>) of funded cultural expenditure.</w:t>
      </w:r>
    </w:p>
    <w:p w14:paraId="07ACFF7D" w14:textId="4A65A657" w:rsidR="00DE1740" w:rsidRPr="00384837" w:rsidRDefault="00DE1740" w:rsidP="00DE1740">
      <w:pPr>
        <w:pStyle w:val="ListParagraph"/>
        <w:numPr>
          <w:ilvl w:val="0"/>
          <w:numId w:val="6"/>
        </w:numPr>
        <w:ind w:left="567" w:hanging="567"/>
      </w:pPr>
      <w:r w:rsidRPr="00384837">
        <w:t xml:space="preserve">Capital expenditure was </w:t>
      </w:r>
      <w:r w:rsidRPr="00141567">
        <w:t>$3</w:t>
      </w:r>
      <w:r w:rsidR="00141567" w:rsidRPr="00141567">
        <w:t>81.2</w:t>
      </w:r>
      <w:r w:rsidRPr="00141567">
        <w:t>m</w:t>
      </w:r>
      <w:r w:rsidRPr="00384837">
        <w:t>, and the largest two categories were</w:t>
      </w:r>
      <w:r w:rsidR="005604C1">
        <w:t xml:space="preserve"> </w:t>
      </w:r>
      <w:r w:rsidR="005604C1" w:rsidRPr="005604C1">
        <w:rPr>
          <w:i/>
        </w:rPr>
        <w:t>Other museums and cultural heritage</w:t>
      </w:r>
      <w:r w:rsidR="005604C1" w:rsidRPr="005604C1">
        <w:t xml:space="preserve"> ($296.7m) and</w:t>
      </w:r>
      <w:r w:rsidRPr="005604C1">
        <w:t xml:space="preserve"> </w:t>
      </w:r>
      <w:r w:rsidRPr="005604C1">
        <w:rPr>
          <w:i/>
        </w:rPr>
        <w:t xml:space="preserve">Art museums </w:t>
      </w:r>
      <w:r w:rsidRPr="005604C1">
        <w:t>($</w:t>
      </w:r>
      <w:r w:rsidR="005604C1" w:rsidRPr="005604C1">
        <w:t>22.3</w:t>
      </w:r>
      <w:r w:rsidRPr="005604C1">
        <w:t>m).</w:t>
      </w:r>
    </w:p>
    <w:p w14:paraId="12D20BF8" w14:textId="01B6935B" w:rsidR="00DE1740" w:rsidRPr="00384837" w:rsidRDefault="00DE1740" w:rsidP="00DE1740">
      <w:pPr>
        <w:pStyle w:val="ListParagraph"/>
        <w:numPr>
          <w:ilvl w:val="0"/>
          <w:numId w:val="6"/>
        </w:numPr>
        <w:ind w:left="567" w:hanging="567"/>
      </w:pPr>
      <w:bookmarkStart w:id="1" w:name="_Toc524533023"/>
      <w:r w:rsidRPr="00384837">
        <w:t xml:space="preserve">The estimate of per person funding was </w:t>
      </w:r>
      <w:r w:rsidRPr="005604C1">
        <w:t>$1</w:t>
      </w:r>
      <w:r w:rsidR="005604C1" w:rsidRPr="005604C1">
        <w:t>19</w:t>
      </w:r>
      <w:r w:rsidRPr="005604C1">
        <w:t>.</w:t>
      </w:r>
      <w:r w:rsidR="005604C1" w:rsidRPr="005604C1">
        <w:t>98</w:t>
      </w:r>
      <w:r w:rsidRPr="005604C1">
        <w:t>.</w:t>
      </w:r>
    </w:p>
    <w:p w14:paraId="1F21ED5B" w14:textId="2504D304" w:rsidR="00DE1740" w:rsidRDefault="00DE1740" w:rsidP="00DE1740">
      <w:r w:rsidRPr="00384837">
        <w:t xml:space="preserve">Funds for Total </w:t>
      </w:r>
      <w:r w:rsidRPr="00DA6E76">
        <w:rPr>
          <w:b/>
          <w:bCs/>
          <w:i/>
        </w:rPr>
        <w:t>Heritage</w:t>
      </w:r>
      <w:r w:rsidRPr="00384837">
        <w:t xml:space="preserve"> activities (recurrent and capital) rose </w:t>
      </w:r>
      <w:r w:rsidR="003C4283">
        <w:t>13</w:t>
      </w:r>
      <w:r w:rsidRPr="00384837">
        <w:t>% (or $</w:t>
      </w:r>
      <w:r w:rsidR="003C4283">
        <w:t>73.1</w:t>
      </w:r>
      <w:r w:rsidRPr="00384837">
        <w:t>m) to $</w:t>
      </w:r>
      <w:r w:rsidR="003C4283">
        <w:t>654.9</w:t>
      </w:r>
      <w:r w:rsidRPr="00384837">
        <w:t>m.</w:t>
      </w:r>
    </w:p>
    <w:p w14:paraId="52898533" w14:textId="14C492D4" w:rsidR="00AA05B8" w:rsidRPr="00384837" w:rsidRDefault="00AA05B8" w:rsidP="00DE1740">
      <w:r>
        <w:t xml:space="preserve">The two largest categories of </w:t>
      </w:r>
      <w:r w:rsidRPr="00AA05B8">
        <w:rPr>
          <w:i/>
          <w:iCs/>
        </w:rPr>
        <w:t>Heritage</w:t>
      </w:r>
      <w:r>
        <w:t xml:space="preserve"> expenditure were </w:t>
      </w:r>
      <w:r w:rsidRPr="00AA05B8">
        <w:rPr>
          <w:i/>
          <w:iCs/>
        </w:rPr>
        <w:t>Other museums and cultural heritage</w:t>
      </w:r>
      <w:r>
        <w:t xml:space="preserve"> ($418.2m) and </w:t>
      </w:r>
      <w:r w:rsidRPr="00AA05B8">
        <w:rPr>
          <w:i/>
          <w:iCs/>
        </w:rPr>
        <w:t>Libraries</w:t>
      </w:r>
      <w:r>
        <w:t xml:space="preserve"> ($125.6m).</w:t>
      </w:r>
    </w:p>
    <w:p w14:paraId="6D44C7F2" w14:textId="77777777" w:rsidR="00DE1740" w:rsidRDefault="00DE1740" w:rsidP="00DE1740">
      <w:pPr>
        <w:pStyle w:val="Tablefigureheading"/>
      </w:pPr>
      <w:r w:rsidRPr="00303AC1">
        <w:t xml:space="preserve">Figure 1. </w:t>
      </w:r>
      <w:r>
        <w:t>New South Wales</w:t>
      </w:r>
      <w:r w:rsidRPr="00303AC1">
        <w:t xml:space="preserve"> Government heritage expenditure</w:t>
      </w:r>
      <w:bookmarkEnd w:id="1"/>
      <w:r>
        <w:t xml:space="preserve"> (recurrent and capital)</w:t>
      </w:r>
    </w:p>
    <w:p w14:paraId="02B7726C" w14:textId="6E53763A" w:rsidR="00DE1740" w:rsidRPr="00302027" w:rsidRDefault="00914F88" w:rsidP="00DE1740">
      <w:pPr>
        <w:rPr>
          <w:lang w:eastAsia="en-US"/>
        </w:rPr>
      </w:pPr>
      <w:r>
        <w:rPr>
          <w:noProof/>
        </w:rPr>
        <w:drawing>
          <wp:inline distT="0" distB="0" distL="0" distR="0" wp14:anchorId="12EB8FF3" wp14:editId="2BF02D9C">
            <wp:extent cx="5522595" cy="2406770"/>
            <wp:effectExtent l="0" t="0" r="1905" b="0"/>
            <wp:docPr id="259343881" name="Chart 1" descr="Figure 1. New South Wales Government heritage expenditure (recurrent and capital).&#10;A column graph compares expenditure across the heritage categories of Art museums, Other museums and cultural heritage, Libraries and Archives between the financial years of 2020-21, 2021-22 and 2023-24 for the New South Wales Government.&#10;2020-21: Art museums $177.0m, Other museums &amp; cultural heritage $157.4m, Libraries $113.9m, Archives $14.2m.&#10;2021-22: Art museums $218.9m, Other museums &amp; cultural heritage $220.4m, Libraries $128.4m, Archives $14.0m.&#10;2023-24: Art museums $91.7m, Other museums &amp; cultural heritage $418.2m, Libraries $125.6m, Archives $19.3m.&#10; ">
              <a:extLst xmlns:a="http://schemas.openxmlformats.org/drawingml/2006/main">
                <a:ext uri="{FF2B5EF4-FFF2-40B4-BE49-F238E27FC236}">
                  <a16:creationId xmlns:a16="http://schemas.microsoft.com/office/drawing/2014/main" id="{85F5B7E6-B69B-4C00-AD48-2BF027EB0E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2AD551A" w14:textId="396819B2" w:rsidR="00DE1740" w:rsidRPr="00384837" w:rsidRDefault="00DE1740" w:rsidP="00DE1740">
      <w:r w:rsidRPr="009D0B36">
        <w:t xml:space="preserve">Funds for </w:t>
      </w:r>
      <w:r>
        <w:t xml:space="preserve">Total </w:t>
      </w:r>
      <w:r w:rsidRPr="00DA6E76">
        <w:rPr>
          <w:b/>
          <w:bCs/>
          <w:i/>
        </w:rPr>
        <w:t>Arts</w:t>
      </w:r>
      <w:r w:rsidRPr="009D0B36">
        <w:t xml:space="preserve"> activities</w:t>
      </w:r>
      <w:r>
        <w:t xml:space="preserve"> (recurrent and capital</w:t>
      </w:r>
      <w:r w:rsidRPr="00616B42">
        <w:t xml:space="preserve">) </w:t>
      </w:r>
      <w:r w:rsidR="00914F88">
        <w:t>decreased by</w:t>
      </w:r>
      <w:r w:rsidRPr="00384837">
        <w:t xml:space="preserve"> </w:t>
      </w:r>
      <w:r w:rsidR="000D639E" w:rsidRPr="000D639E">
        <w:t>38</w:t>
      </w:r>
      <w:r w:rsidRPr="000D639E">
        <w:t>% (or $</w:t>
      </w:r>
      <w:r w:rsidR="000D639E" w:rsidRPr="000D639E">
        <w:t>216</w:t>
      </w:r>
      <w:r w:rsidRPr="000D639E">
        <w:t>.</w:t>
      </w:r>
      <w:r w:rsidR="000D639E" w:rsidRPr="000D639E">
        <w:t>3</w:t>
      </w:r>
      <w:r w:rsidRPr="000D639E">
        <w:t>m) to $</w:t>
      </w:r>
      <w:r w:rsidR="000D639E" w:rsidRPr="000D639E">
        <w:t>355.6</w:t>
      </w:r>
      <w:r w:rsidRPr="000D639E">
        <w:t>m.</w:t>
      </w:r>
    </w:p>
    <w:p w14:paraId="5EA6A54E" w14:textId="67E99F6F" w:rsidR="00DE1740" w:rsidRPr="00616B42" w:rsidRDefault="00DE1740" w:rsidP="00DE1740">
      <w:pPr>
        <w:rPr>
          <w:lang w:eastAsia="en-US"/>
        </w:rPr>
      </w:pPr>
      <w:r w:rsidRPr="00616B42">
        <w:lastRenderedPageBreak/>
        <w:t xml:space="preserve">The main </w:t>
      </w:r>
      <w:r w:rsidR="00F446C3">
        <w:t xml:space="preserve">contributors to this </w:t>
      </w:r>
      <w:r w:rsidR="00780D64">
        <w:t>were</w:t>
      </w:r>
      <w:r w:rsidR="000D639E">
        <w:t xml:space="preserve"> </w:t>
      </w:r>
      <w:r w:rsidR="00F446C3" w:rsidRPr="00F446C3">
        <w:rPr>
          <w:i/>
          <w:iCs/>
        </w:rPr>
        <w:t>Music</w:t>
      </w:r>
      <w:r w:rsidR="00F446C3">
        <w:t xml:space="preserve"> </w:t>
      </w:r>
      <w:r w:rsidR="00F446C3">
        <w:rPr>
          <w:rFonts w:cstheme="minorHAnsi"/>
        </w:rPr>
        <w:t>↓$86.5m</w:t>
      </w:r>
      <w:r w:rsidR="00F446C3">
        <w:t xml:space="preserve"> and </w:t>
      </w:r>
      <w:r w:rsidR="00F446C3" w:rsidRPr="00F446C3">
        <w:rPr>
          <w:i/>
          <w:iCs/>
        </w:rPr>
        <w:t>Music theatre and opera</w:t>
      </w:r>
      <w:r w:rsidR="00F446C3">
        <w:t xml:space="preserve"> </w:t>
      </w:r>
      <w:r w:rsidR="00F446C3">
        <w:rPr>
          <w:rFonts w:cstheme="minorHAnsi"/>
        </w:rPr>
        <w:t>↓$55.7m</w:t>
      </w:r>
      <w:r w:rsidR="00F446C3">
        <w:t xml:space="preserve">. This is because </w:t>
      </w:r>
      <w:r w:rsidR="00F446C3" w:rsidRPr="00384837">
        <w:rPr>
          <w:lang w:eastAsia="en-US"/>
        </w:rPr>
        <w:t>COVID support packages -</w:t>
      </w:r>
      <w:r w:rsidR="000D639E">
        <w:t xml:space="preserve"> </w:t>
      </w:r>
      <w:r w:rsidR="000D639E" w:rsidRPr="000D639E">
        <w:rPr>
          <w:i/>
          <w:iCs/>
        </w:rPr>
        <w:t>Performing Arts COVID Relaunch package</w:t>
      </w:r>
      <w:r w:rsidR="000D639E">
        <w:rPr>
          <w:i/>
          <w:iCs/>
        </w:rPr>
        <w:t xml:space="preserve"> </w:t>
      </w:r>
      <w:r w:rsidR="000D639E" w:rsidRPr="00DB7067">
        <w:t>and</w:t>
      </w:r>
      <w:r w:rsidR="000D639E" w:rsidRPr="000D639E">
        <w:rPr>
          <w:i/>
          <w:iCs/>
        </w:rPr>
        <w:t xml:space="preserve"> Event Saver</w:t>
      </w:r>
      <w:r w:rsidR="000D639E" w:rsidRPr="000D639E">
        <w:t xml:space="preserve"> </w:t>
      </w:r>
      <w:r w:rsidR="000D639E">
        <w:t xml:space="preserve">present </w:t>
      </w:r>
      <w:r w:rsidR="00F446C3">
        <w:t>during</w:t>
      </w:r>
      <w:r w:rsidR="000D639E">
        <w:t xml:space="preserve"> 2021</w:t>
      </w:r>
      <w:r w:rsidR="00AC2BA3" w:rsidRPr="00384837">
        <w:t>–</w:t>
      </w:r>
      <w:r w:rsidR="000D639E">
        <w:t>22 were not present in the 2023</w:t>
      </w:r>
      <w:r w:rsidR="00AC2BA3" w:rsidRPr="00384837">
        <w:t>–</w:t>
      </w:r>
      <w:r w:rsidR="000D639E">
        <w:t>24 financial year.</w:t>
      </w:r>
      <w:bookmarkStart w:id="2" w:name="_GoBack"/>
      <w:bookmarkEnd w:id="2"/>
    </w:p>
    <w:p w14:paraId="3A209088" w14:textId="0C2AE633" w:rsidR="00DE1740" w:rsidRDefault="00DE1740" w:rsidP="00DE1740">
      <w:pPr>
        <w:pStyle w:val="Tablefigureheading"/>
      </w:pPr>
      <w:bookmarkStart w:id="3" w:name="_Toc524533024"/>
      <w:r w:rsidRPr="00303AC1">
        <w:t xml:space="preserve">Figure 2. </w:t>
      </w:r>
      <w:r w:rsidR="00AA05B8">
        <w:t>NSW</w:t>
      </w:r>
      <w:r w:rsidRPr="00303AC1">
        <w:t xml:space="preserve"> Government arts expenditure</w:t>
      </w:r>
      <w:r>
        <w:t xml:space="preserve"> (recurrent and capital)</w:t>
      </w:r>
      <w:r w:rsidRPr="00303AC1">
        <w:t>, by selected categories</w:t>
      </w:r>
      <w:bookmarkEnd w:id="3"/>
    </w:p>
    <w:p w14:paraId="7D3C88BF" w14:textId="14C99CA8" w:rsidR="00E75E9F" w:rsidRPr="00E75E9F" w:rsidRDefault="00914F88" w:rsidP="00E75E9F">
      <w:pPr>
        <w:rPr>
          <w:lang w:eastAsia="en-US"/>
        </w:rPr>
      </w:pPr>
      <w:r>
        <w:rPr>
          <w:noProof/>
        </w:rPr>
        <w:drawing>
          <wp:inline distT="0" distB="0" distL="0" distR="0" wp14:anchorId="158B8F5B" wp14:editId="644FE11B">
            <wp:extent cx="5851519" cy="1865312"/>
            <wp:effectExtent l="0" t="0" r="0" b="1905"/>
            <wp:docPr id="540581931" name="Chart 1" descr="Figure 2. New South Wales Government arts expenditure (recurrent and capital), by selected categories.&#10;A column graph compares expenditure across the arts categories of Music, Performing arts venues, Visual arts and crafts, Film and video production and distribution, and Arts administration between the financial years of 2020-21, 2021-22 and 2023-24 for the New South Wales Government.&#10;2020-21: Music $20.5m, Performing arts venues $190.8m, Visual arts &amp; crafts $21.5m, Film &amp; video production &amp; distribution $49.5m, Arts administration $24.5m.&#10;2021-22: Music $118.1m, Performing arts venues $78.2m, Visual arts &amp; crafts $26.7m, Film &amp; video production &amp; distribution $66.4m, Arts administration $29.0m.&#10;2023-24: Music $31.6m, Performing arts venues $83.1m, Visual arts &amp; crafts $33.9m, Film &amp; video production &amp; distribution $59.4m, Arts administration $50.4m.">
              <a:extLst xmlns:a="http://schemas.openxmlformats.org/drawingml/2006/main">
                <a:ext uri="{FF2B5EF4-FFF2-40B4-BE49-F238E27FC236}">
                  <a16:creationId xmlns:a16="http://schemas.microsoft.com/office/drawing/2014/main" id="{4D59B28F-11D2-45E7-954F-C734EA4CC3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03C5F0D" w14:textId="2F9F5C6A" w:rsidR="00DE1740" w:rsidRPr="00384837" w:rsidRDefault="009D518B" w:rsidP="00DE1740">
      <w:pPr>
        <w:rPr>
          <w:lang w:eastAsia="en-US"/>
        </w:rPr>
      </w:pPr>
      <w:r>
        <w:t>The la</w:t>
      </w:r>
      <w:r w:rsidR="00DB7067">
        <w:t>rg</w:t>
      </w:r>
      <w:r>
        <w:t>est proportion</w:t>
      </w:r>
      <w:r w:rsidRPr="009D518B">
        <w:t xml:space="preserve"> </w:t>
      </w:r>
      <w:r w:rsidR="00BE1190">
        <w:t xml:space="preserve">(23%) </w:t>
      </w:r>
      <w:r>
        <w:t xml:space="preserve">of </w:t>
      </w:r>
      <w:r w:rsidR="00BE1190">
        <w:t>total</w:t>
      </w:r>
      <w:r w:rsidRPr="00384837">
        <w:t xml:space="preserve"> expenditure on </w:t>
      </w:r>
      <w:r w:rsidRPr="00384837">
        <w:rPr>
          <w:i/>
        </w:rPr>
        <w:t>Arts</w:t>
      </w:r>
      <w:r w:rsidRPr="00384837">
        <w:t xml:space="preserve"> activities</w:t>
      </w:r>
      <w:r>
        <w:rPr>
          <w:i/>
        </w:rPr>
        <w:t xml:space="preserve"> </w:t>
      </w:r>
      <w:r w:rsidR="00DE1740" w:rsidRPr="00384837">
        <w:t xml:space="preserve">by the New South Wales Government was </w:t>
      </w:r>
      <w:r>
        <w:t>for</w:t>
      </w:r>
      <w:r w:rsidR="00DE1740" w:rsidRPr="00384837">
        <w:t xml:space="preserve"> </w:t>
      </w:r>
      <w:r>
        <w:rPr>
          <w:i/>
        </w:rPr>
        <w:t>Performing arts venues</w:t>
      </w:r>
      <w:r w:rsidR="00DE1740" w:rsidRPr="00384837">
        <w:rPr>
          <w:i/>
        </w:rPr>
        <w:t xml:space="preserve"> </w:t>
      </w:r>
      <w:r w:rsidR="00DE1740" w:rsidRPr="00384837">
        <w:t>($</w:t>
      </w:r>
      <w:r w:rsidR="00D7465B">
        <w:t>83.1m</w:t>
      </w:r>
      <w:r w:rsidR="00DE1740" w:rsidRPr="00384837">
        <w:t>).</w:t>
      </w:r>
    </w:p>
    <w:p w14:paraId="27171545" w14:textId="77777777" w:rsidR="00DE1740" w:rsidRPr="00384837" w:rsidRDefault="00DE1740" w:rsidP="00DE1740">
      <w:pPr>
        <w:spacing w:after="0"/>
      </w:pPr>
      <w:r w:rsidRPr="00384837">
        <w:t xml:space="preserve">Other main categories of </w:t>
      </w:r>
      <w:r w:rsidRPr="00384837">
        <w:rPr>
          <w:i/>
        </w:rPr>
        <w:t>Arts</w:t>
      </w:r>
      <w:r w:rsidRPr="00384837">
        <w:t xml:space="preserve"> activities funding were:</w:t>
      </w:r>
    </w:p>
    <w:p w14:paraId="3B97BD9A" w14:textId="41302CF4" w:rsidR="00DE1740" w:rsidRPr="00384837" w:rsidRDefault="009D518B" w:rsidP="00DE1740">
      <w:pPr>
        <w:pStyle w:val="ListParagraph"/>
        <w:numPr>
          <w:ilvl w:val="0"/>
          <w:numId w:val="10"/>
        </w:numPr>
        <w:ind w:left="567" w:hanging="567"/>
      </w:pPr>
      <w:r w:rsidRPr="00384837">
        <w:rPr>
          <w:i/>
        </w:rPr>
        <w:t>Film and video production and distribution</w:t>
      </w:r>
      <w:r w:rsidR="00DE1740" w:rsidRPr="00384837">
        <w:t>—$</w:t>
      </w:r>
      <w:r w:rsidR="00D7465B">
        <w:t>59.4</w:t>
      </w:r>
      <w:r w:rsidR="00DE1740" w:rsidRPr="00384837">
        <w:t>m</w:t>
      </w:r>
      <w:r w:rsidR="00DE1740" w:rsidRPr="00384837">
        <w:rPr>
          <w:i/>
        </w:rPr>
        <w:t xml:space="preserve"> </w:t>
      </w:r>
    </w:p>
    <w:p w14:paraId="47519463" w14:textId="70395A90" w:rsidR="00DE1740" w:rsidRPr="00384837" w:rsidRDefault="00F51517" w:rsidP="00DE1740">
      <w:pPr>
        <w:pStyle w:val="ListParagraph"/>
        <w:numPr>
          <w:ilvl w:val="0"/>
          <w:numId w:val="10"/>
        </w:numPr>
        <w:ind w:left="567" w:hanging="567"/>
      </w:pPr>
      <w:r w:rsidRPr="00F51517">
        <w:rPr>
          <w:i/>
        </w:rPr>
        <w:t>Arts administration</w:t>
      </w:r>
      <w:r w:rsidR="00DE1740" w:rsidRPr="00384837">
        <w:t>—$</w:t>
      </w:r>
      <w:r w:rsidR="00D7465B">
        <w:t>50.4</w:t>
      </w:r>
      <w:r w:rsidR="00DE1740" w:rsidRPr="00384837">
        <w:t>m</w:t>
      </w:r>
    </w:p>
    <w:p w14:paraId="1FB672D5" w14:textId="635442EB" w:rsidR="00DE1740" w:rsidRPr="00384837" w:rsidRDefault="00F51517" w:rsidP="00DE1740">
      <w:pPr>
        <w:pStyle w:val="ListParagraph"/>
        <w:numPr>
          <w:ilvl w:val="0"/>
          <w:numId w:val="10"/>
        </w:numPr>
        <w:ind w:left="567" w:hanging="567"/>
      </w:pPr>
      <w:r w:rsidRPr="00F51517">
        <w:rPr>
          <w:i/>
        </w:rPr>
        <w:t>Visual arts and craft</w:t>
      </w:r>
      <w:r w:rsidR="00DE1740" w:rsidRPr="00384837">
        <w:t>—$</w:t>
      </w:r>
      <w:r w:rsidR="00D7465B">
        <w:t>33.9</w:t>
      </w:r>
      <w:r w:rsidR="00DE1740" w:rsidRPr="00384837">
        <w:t>m</w:t>
      </w:r>
    </w:p>
    <w:p w14:paraId="35601931" w14:textId="13DA8515" w:rsidR="00DE1740" w:rsidRPr="00384837" w:rsidRDefault="00F51517" w:rsidP="00DE1740">
      <w:pPr>
        <w:pStyle w:val="ListParagraph"/>
        <w:numPr>
          <w:ilvl w:val="0"/>
          <w:numId w:val="10"/>
        </w:numPr>
        <w:ind w:left="567" w:hanging="567"/>
      </w:pPr>
      <w:r>
        <w:rPr>
          <w:i/>
        </w:rPr>
        <w:t>Music</w:t>
      </w:r>
      <w:r w:rsidR="00DE1740" w:rsidRPr="00384837">
        <w:t>—$</w:t>
      </w:r>
      <w:r w:rsidR="00D7465B">
        <w:t>31.6</w:t>
      </w:r>
      <w:r w:rsidR="00DE1740" w:rsidRPr="00384837">
        <w:t>m.</w:t>
      </w:r>
    </w:p>
    <w:p w14:paraId="42B32F0A" w14:textId="1EA49DB3" w:rsidR="00DE1740" w:rsidRPr="00384837" w:rsidRDefault="00DE1740" w:rsidP="00DE1740">
      <w:r w:rsidRPr="00384837">
        <w:t xml:space="preserve">Total </w:t>
      </w:r>
      <w:r w:rsidR="00DB7067">
        <w:t xml:space="preserve">heritage and arts </w:t>
      </w:r>
      <w:r w:rsidRPr="00DA6E76">
        <w:rPr>
          <w:b/>
          <w:bCs/>
        </w:rPr>
        <w:t>recurrent</w:t>
      </w:r>
      <w:r w:rsidRPr="00384837">
        <w:t xml:space="preserve"> expenditure </w:t>
      </w:r>
      <w:r w:rsidR="00D7465B">
        <w:t>decreased</w:t>
      </w:r>
      <w:r w:rsidRPr="00384837">
        <w:t xml:space="preserve"> </w:t>
      </w:r>
      <w:r w:rsidR="00D7465B">
        <w:t>23</w:t>
      </w:r>
      <w:r w:rsidRPr="00384837">
        <w:t>% (or $</w:t>
      </w:r>
      <w:r w:rsidR="00D7465B">
        <w:t>186.4</w:t>
      </w:r>
      <w:r w:rsidRPr="00384837">
        <w:t>m) to $</w:t>
      </w:r>
      <w:r w:rsidR="00D7465B">
        <w:t>629.3</w:t>
      </w:r>
      <w:r w:rsidRPr="00384837">
        <w:t>m.</w:t>
      </w:r>
    </w:p>
    <w:p w14:paraId="6F205BFC" w14:textId="02479EAF" w:rsidR="00DE1740" w:rsidRPr="00384837" w:rsidRDefault="00DE1740" w:rsidP="00DE1740">
      <w:pPr>
        <w:pStyle w:val="Tablefigureheading"/>
      </w:pPr>
      <w:r>
        <w:t xml:space="preserve">Table 2. New South Wales Government recurrent cultural </w:t>
      </w:r>
      <w:r w:rsidRPr="00384837">
        <w:t>expenditure, 20</w:t>
      </w:r>
      <w:r w:rsidR="00914F88">
        <w:t>20</w:t>
      </w:r>
      <w:r w:rsidRPr="00384837">
        <w:t>–2</w:t>
      </w:r>
      <w:r w:rsidR="00914F88">
        <w:t>1</w:t>
      </w:r>
      <w:r w:rsidRPr="00384837">
        <w:t xml:space="preserve"> to 202</w:t>
      </w:r>
      <w:r w:rsidR="00914F88">
        <w:t>3</w:t>
      </w:r>
      <w:r w:rsidRPr="00384837">
        <w:t>–2</w:t>
      </w:r>
      <w:r w:rsidR="00914F88">
        <w:t>4</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2— New South Wales Government recurrent cultural expenditure, 2015–16 to 2017–18."/>
      </w:tblPr>
      <w:tblGrid>
        <w:gridCol w:w="1276"/>
        <w:gridCol w:w="1985"/>
        <w:gridCol w:w="1984"/>
      </w:tblGrid>
      <w:tr w:rsidR="00914F88" w:rsidRPr="00384837" w14:paraId="33654B16" w14:textId="77777777" w:rsidTr="006133D6">
        <w:trPr>
          <w:cantSplit/>
          <w:tblHeader/>
        </w:trPr>
        <w:tc>
          <w:tcPr>
            <w:tcW w:w="1276" w:type="dxa"/>
            <w:tcBorders>
              <w:top w:val="nil"/>
              <w:left w:val="nil"/>
              <w:bottom w:val="thickThinLargeGap" w:sz="24" w:space="0" w:color="auto"/>
              <w:right w:val="nil"/>
            </w:tcBorders>
            <w:shd w:val="clear" w:color="auto" w:fill="C3AFF7"/>
          </w:tcPr>
          <w:p w14:paraId="4775CC15" w14:textId="1B91D0CC" w:rsidR="00914F88" w:rsidRPr="00384837" w:rsidRDefault="00914F88" w:rsidP="00914F88">
            <w:pPr>
              <w:pStyle w:val="Tablerowcolumnheadingcentred"/>
            </w:pPr>
            <w:r w:rsidRPr="00384837">
              <w:t>202</w:t>
            </w:r>
            <w:r w:rsidR="00EC2BEA">
              <w:t>0</w:t>
            </w:r>
            <w:r w:rsidRPr="00384837">
              <w:t>–2</w:t>
            </w:r>
            <w:r w:rsidR="00EC2BEA">
              <w:t>1</w:t>
            </w:r>
            <w:r w:rsidRPr="00384837">
              <w:rPr>
                <w:rStyle w:val="FootnoteReference"/>
              </w:rPr>
              <w:footnoteReference w:id="4"/>
            </w:r>
          </w:p>
        </w:tc>
        <w:tc>
          <w:tcPr>
            <w:tcW w:w="1985" w:type="dxa"/>
            <w:tcBorders>
              <w:top w:val="nil"/>
              <w:left w:val="nil"/>
              <w:bottom w:val="thickThinLargeGap" w:sz="24" w:space="0" w:color="auto"/>
              <w:right w:val="nil"/>
            </w:tcBorders>
            <w:shd w:val="clear" w:color="auto" w:fill="C3AFF7"/>
          </w:tcPr>
          <w:p w14:paraId="0D230D16" w14:textId="51D0B4B2" w:rsidR="00914F88" w:rsidRPr="00384837" w:rsidRDefault="00914F88" w:rsidP="00914F88">
            <w:pPr>
              <w:pStyle w:val="Tablerowcolumnheadingcentred"/>
            </w:pPr>
            <w:r w:rsidRPr="00384837">
              <w:t>2021–22</w:t>
            </w:r>
            <w:r w:rsidRPr="00384837">
              <w:rPr>
                <w:rStyle w:val="FootnoteReference"/>
              </w:rPr>
              <w:footnoteReference w:id="5"/>
            </w:r>
          </w:p>
        </w:tc>
        <w:tc>
          <w:tcPr>
            <w:tcW w:w="1984" w:type="dxa"/>
            <w:tcBorders>
              <w:top w:val="nil"/>
              <w:left w:val="nil"/>
              <w:bottom w:val="thickThinLargeGap" w:sz="24" w:space="0" w:color="auto"/>
              <w:right w:val="nil"/>
            </w:tcBorders>
            <w:shd w:val="clear" w:color="auto" w:fill="C3AFF7"/>
          </w:tcPr>
          <w:p w14:paraId="14B9B519" w14:textId="6EAAFCFD" w:rsidR="00914F88" w:rsidRPr="00384837" w:rsidRDefault="00914F88" w:rsidP="00914F88">
            <w:pPr>
              <w:pStyle w:val="Tablerowcolumnheadingcentred"/>
            </w:pPr>
            <w:r>
              <w:t>2023</w:t>
            </w:r>
            <w:r w:rsidR="00A26B34" w:rsidRPr="00384837">
              <w:t>–</w:t>
            </w:r>
            <w:r>
              <w:t>24</w:t>
            </w:r>
          </w:p>
        </w:tc>
      </w:tr>
      <w:tr w:rsidR="00914F88" w:rsidRPr="00384837" w14:paraId="105A1976" w14:textId="77777777" w:rsidTr="006133D6">
        <w:trPr>
          <w:cantSplit/>
        </w:trPr>
        <w:tc>
          <w:tcPr>
            <w:tcW w:w="1276" w:type="dxa"/>
            <w:tcBorders>
              <w:top w:val="single" w:sz="4" w:space="0" w:color="auto"/>
              <w:left w:val="nil"/>
              <w:bottom w:val="single" w:sz="12" w:space="0" w:color="auto"/>
              <w:right w:val="nil"/>
            </w:tcBorders>
          </w:tcPr>
          <w:p w14:paraId="4FFE5E03" w14:textId="190721B7" w:rsidR="00914F88" w:rsidRPr="00384837" w:rsidRDefault="00914F88" w:rsidP="00914F88">
            <w:pPr>
              <w:pStyle w:val="Tabletext"/>
              <w:jc w:val="center"/>
            </w:pPr>
            <w:r w:rsidRPr="00384837">
              <w:t>$602.7m</w:t>
            </w:r>
          </w:p>
        </w:tc>
        <w:tc>
          <w:tcPr>
            <w:tcW w:w="1985" w:type="dxa"/>
            <w:tcBorders>
              <w:top w:val="single" w:sz="4" w:space="0" w:color="auto"/>
              <w:left w:val="nil"/>
              <w:bottom w:val="single" w:sz="12" w:space="0" w:color="auto"/>
              <w:right w:val="nil"/>
            </w:tcBorders>
          </w:tcPr>
          <w:p w14:paraId="6C697CD1" w14:textId="41A539E1" w:rsidR="00914F88" w:rsidRPr="00384837" w:rsidRDefault="00914F88" w:rsidP="00914F88">
            <w:pPr>
              <w:pStyle w:val="Tabletextcentred"/>
            </w:pPr>
            <w:r w:rsidRPr="00384837">
              <w:t>$815.7m ↑35%</w:t>
            </w:r>
          </w:p>
        </w:tc>
        <w:tc>
          <w:tcPr>
            <w:tcW w:w="1984" w:type="dxa"/>
            <w:tcBorders>
              <w:top w:val="single" w:sz="4" w:space="0" w:color="auto"/>
              <w:left w:val="nil"/>
              <w:bottom w:val="single" w:sz="12" w:space="0" w:color="auto"/>
              <w:right w:val="nil"/>
            </w:tcBorders>
          </w:tcPr>
          <w:p w14:paraId="25E65510" w14:textId="5B8DC928" w:rsidR="00914F88" w:rsidRPr="00384837" w:rsidRDefault="00EA2800" w:rsidP="00914F88">
            <w:pPr>
              <w:pStyle w:val="Tabletextcentred"/>
            </w:pPr>
            <w:r w:rsidRPr="00384837">
              <w:t>$</w:t>
            </w:r>
            <w:r>
              <w:t xml:space="preserve">629.3m </w:t>
            </w:r>
            <w:r>
              <w:rPr>
                <w:rFonts w:ascii="Calibri" w:hAnsi="Calibri" w:cs="Calibri"/>
              </w:rPr>
              <w:t>↓</w:t>
            </w:r>
            <w:r>
              <w:t>23%</w:t>
            </w:r>
          </w:p>
        </w:tc>
      </w:tr>
    </w:tbl>
    <w:p w14:paraId="6B8F84C1" w14:textId="5547923E" w:rsidR="00DE1740" w:rsidRPr="00384837" w:rsidRDefault="00DE1740" w:rsidP="00DE1740">
      <w:pPr>
        <w:spacing w:before="240"/>
      </w:pPr>
      <w:r w:rsidRPr="00384837">
        <w:t xml:space="preserve">The largest recurrent expenditure was for </w:t>
      </w:r>
      <w:r w:rsidRPr="00384837">
        <w:rPr>
          <w:i/>
        </w:rPr>
        <w:t>Other museums and cultural heritage</w:t>
      </w:r>
      <w:r w:rsidRPr="00384837">
        <w:t>, $1</w:t>
      </w:r>
      <w:r w:rsidR="00BE1190">
        <w:t>21</w:t>
      </w:r>
      <w:r w:rsidRPr="00384837">
        <w:t>.</w:t>
      </w:r>
      <w:r w:rsidR="00BE1190">
        <w:t>5</w:t>
      </w:r>
      <w:r w:rsidRPr="00384837">
        <w:t xml:space="preserve">m, followed by </w:t>
      </w:r>
      <w:r w:rsidRPr="00384837">
        <w:rPr>
          <w:i/>
          <w:iCs/>
        </w:rPr>
        <w:t>Libraries</w:t>
      </w:r>
      <w:r w:rsidRPr="00384837">
        <w:t xml:space="preserve"> ($</w:t>
      </w:r>
      <w:r w:rsidR="00BE1190">
        <w:t>112.5</w:t>
      </w:r>
      <w:r w:rsidRPr="00384837">
        <w:t>m)</w:t>
      </w:r>
      <w:r w:rsidR="00BE1190">
        <w:t xml:space="preserve">, and </w:t>
      </w:r>
      <w:r w:rsidR="00BE1190" w:rsidRPr="00BE1190">
        <w:rPr>
          <w:i/>
          <w:iCs/>
        </w:rPr>
        <w:t>Art museums</w:t>
      </w:r>
      <w:r w:rsidR="00BE1190">
        <w:t xml:space="preserve"> ($69.5m)</w:t>
      </w:r>
      <w:r w:rsidRPr="00384837">
        <w:t>.</w:t>
      </w:r>
    </w:p>
    <w:p w14:paraId="7BE4C57D" w14:textId="77777777" w:rsidR="00DE1740" w:rsidRDefault="00DE1740" w:rsidP="00DE1740">
      <w:pPr>
        <w:pStyle w:val="Tablefigureheading"/>
      </w:pPr>
      <w:r w:rsidRPr="00303AC1">
        <w:t xml:space="preserve">Figure 3. </w:t>
      </w:r>
      <w:r>
        <w:t>New South Wales</w:t>
      </w:r>
      <w:r w:rsidRPr="00303AC1">
        <w:t xml:space="preserve"> Government recurrent cultural expenditure, by selected categories</w:t>
      </w:r>
    </w:p>
    <w:p w14:paraId="2807602A" w14:textId="302DC4C9" w:rsidR="00DE1740" w:rsidRPr="00DE1740" w:rsidRDefault="00700E43" w:rsidP="00DE1740">
      <w:pPr>
        <w:rPr>
          <w:lang w:eastAsia="en-US"/>
        </w:rPr>
      </w:pPr>
      <w:r>
        <w:rPr>
          <w:noProof/>
        </w:rPr>
        <w:drawing>
          <wp:inline distT="0" distB="0" distL="0" distR="0" wp14:anchorId="66E32DD5" wp14:editId="1E22782A">
            <wp:extent cx="5926455" cy="2311603"/>
            <wp:effectExtent l="0" t="0" r="0" b="0"/>
            <wp:docPr id="299717227" name="Chart 1" descr="Figure 3. New South Wales Government recurrent cultural expenditure, by selected categories.&#10;A column graph compares expenditure across the heritage and arts categories of Art museums, Other museums and cultural heritage, Libraries, Performing arts venues, Film and video production and distribution, and Arts administration between the financial years of 2020-21, 2021-22 and 2023-24 for the New South Wales Government.&#10;2020-21: Art museums $56.3m, Other museums &amp; cultural heritage $132.5m, Libraries $93.7m, Performing arts venues $77.8m, Film &amp; video production &amp; distribution $49.2m, Arts administration $16.0m.&#10;2021-22: Art museums $53.0m, Other museums &amp; cultural heritage $152.1m, Libraries $92.8m, Performing arts venues $33.4m, Film &amp; video production &amp; distribution $66.4m, Arts administration $17.5m.&#10;2023-24: Art museums $69.5m, Other museums &amp; cultural heritage $121.5m, Libraries $112.5m, Performing arts venues $66.7m, Film &amp; video production &amp; distribution $58.3m, Arts administration $49.2m.">
              <a:extLst xmlns:a="http://schemas.openxmlformats.org/drawingml/2006/main">
                <a:ext uri="{FF2B5EF4-FFF2-40B4-BE49-F238E27FC236}">
                  <a16:creationId xmlns:a16="http://schemas.microsoft.com/office/drawing/2014/main" id="{9480C17F-D4B2-4F34-9EB9-6FA5B722CB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sectPr w:rsidR="00DE1740" w:rsidRPr="00DE1740" w:rsidSect="00E75E9F">
      <w:type w:val="continuous"/>
      <w:pgSz w:w="11906" w:h="16838"/>
      <w:pgMar w:top="1418" w:right="1133" w:bottom="851"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47DF4" w14:textId="77777777" w:rsidR="009638D5" w:rsidRDefault="009638D5" w:rsidP="002117E6">
      <w:pPr>
        <w:spacing w:after="0"/>
      </w:pPr>
      <w:r>
        <w:separator/>
      </w:r>
    </w:p>
  </w:endnote>
  <w:endnote w:type="continuationSeparator" w:id="0">
    <w:p w14:paraId="7ED12ECC" w14:textId="77777777" w:rsidR="009638D5" w:rsidRDefault="009638D5"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D829B" w14:textId="10528899" w:rsidR="000F368C" w:rsidRDefault="000F368C">
    <w:pPr>
      <w:pStyle w:val="Footer"/>
    </w:pPr>
    <w:r>
      <w:rPr>
        <w:noProof/>
      </w:rPr>
      <mc:AlternateContent>
        <mc:Choice Requires="wps">
          <w:drawing>
            <wp:anchor distT="0" distB="0" distL="0" distR="0" simplePos="0" relativeHeight="251662336" behindDoc="0" locked="0" layoutInCell="1" allowOverlap="1" wp14:anchorId="494F00F7" wp14:editId="4EF55F40">
              <wp:simplePos x="635" y="635"/>
              <wp:positionH relativeFrom="page">
                <wp:align>center</wp:align>
              </wp:positionH>
              <wp:positionV relativeFrom="page">
                <wp:align>bottom</wp:align>
              </wp:positionV>
              <wp:extent cx="459740" cy="345440"/>
              <wp:effectExtent l="0" t="0" r="16510" b="0"/>
              <wp:wrapNone/>
              <wp:docPr id="551557088" name="Text Box 5"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AF74B12" w14:textId="0C07C0F7" w:rsidR="000F368C" w:rsidRPr="000F368C" w:rsidRDefault="000F368C" w:rsidP="000F368C">
                          <w:pPr>
                            <w:spacing w:after="0"/>
                            <w:rPr>
                              <w:rFonts w:ascii="Calibri" w:eastAsia="Calibri" w:hAnsi="Calibri" w:cs="Calibri"/>
                              <w:noProof/>
                              <w:color w:val="FF0000"/>
                              <w:sz w:val="20"/>
                              <w:szCs w:val="20"/>
                            </w:rPr>
                          </w:pPr>
                          <w:r w:rsidRPr="000F368C">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4F00F7" id="_x0000_t202" coordsize="21600,21600" o:spt="202" path="m,l,21600r21600,l21600,xe">
              <v:stroke joinstyle="miter"/>
              <v:path gradientshapeok="t" o:connecttype="rect"/>
            </v:shapetype>
            <v:shape id="Text Box 5" o:spid="_x0000_s1027" type="#_x0000_t202" alt="OFFICIAL" style="position:absolute;margin-left:0;margin-top:0;width:36.2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" filled="f" stroked="f">
              <v:textbox style="mso-fit-shape-to-text:t" inset="0,0,0,15pt">
                <w:txbxContent>
                  <w:p w14:paraId="4AF74B12" w14:textId="0C07C0F7" w:rsidR="000F368C" w:rsidRPr="000F368C" w:rsidRDefault="000F368C" w:rsidP="000F368C">
                    <w:pPr>
                      <w:spacing w:after="0"/>
                      <w:rPr>
                        <w:rFonts w:ascii="Calibri" w:eastAsia="Calibri" w:hAnsi="Calibri" w:cs="Calibri"/>
                        <w:noProof/>
                        <w:color w:val="FF0000"/>
                        <w:sz w:val="20"/>
                        <w:szCs w:val="20"/>
                      </w:rPr>
                    </w:pPr>
                    <w:r w:rsidRPr="000F368C">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5D076" w14:textId="18845CFB" w:rsidR="00FC0C98" w:rsidRPr="002454AC" w:rsidRDefault="00FC0C98" w:rsidP="00842CA0">
    <w:pPr>
      <w:pStyle w:val="Footer"/>
      <w:tabs>
        <w:tab w:val="clear" w:pos="9026"/>
        <w:tab w:val="right" w:pos="9333"/>
      </w:tabs>
      <w:rPr>
        <w:rStyle w:val="Hyperlink"/>
        <w:b w:val="0"/>
        <w:color w:val="auto"/>
        <w:sz w:val="18"/>
        <w:szCs w:val="18"/>
        <w:u w:val="none"/>
      </w:rPr>
    </w:pPr>
    <w:r w:rsidRPr="00CC4247">
      <w:rPr>
        <w:sz w:val="18"/>
        <w:szCs w:val="18"/>
      </w:rPr>
      <w:t>Cultural</w:t>
    </w:r>
    <w:r>
      <w:rPr>
        <w:sz w:val="18"/>
        <w:szCs w:val="18"/>
      </w:rPr>
      <w:t xml:space="preserve"> Funding by Government—20</w:t>
    </w:r>
    <w:r w:rsidR="006970A6">
      <w:rPr>
        <w:sz w:val="18"/>
        <w:szCs w:val="18"/>
      </w:rPr>
      <w:t>2</w:t>
    </w:r>
    <w:r w:rsidR="002E2228">
      <w:rPr>
        <w:sz w:val="18"/>
        <w:szCs w:val="18"/>
      </w:rPr>
      <w:t>3</w:t>
    </w:r>
    <w:r>
      <w:t>–</w:t>
    </w:r>
    <w:r>
      <w:rPr>
        <w:sz w:val="18"/>
        <w:szCs w:val="18"/>
      </w:rPr>
      <w:t>2</w:t>
    </w:r>
    <w:r w:rsidR="002E2228">
      <w:rPr>
        <w:sz w:val="18"/>
        <w:szCs w:val="18"/>
      </w:rPr>
      <w:t>4</w:t>
    </w:r>
    <w:r w:rsidRPr="00CC4247">
      <w:rPr>
        <w:sz w:val="18"/>
        <w:szCs w:val="18"/>
      </w:rPr>
      <w:t>—</w:t>
    </w:r>
    <w:r w:rsidR="00414361">
      <w:rPr>
        <w:sz w:val="18"/>
        <w:szCs w:val="18"/>
      </w:rPr>
      <w:t>New South Wales</w:t>
    </w:r>
    <w:r w:rsidRPr="00CC4247">
      <w:rPr>
        <w:sz w:val="18"/>
        <w:szCs w:val="18"/>
      </w:rPr>
      <w:t xml:space="preserve"> Government</w:t>
    </w:r>
    <w:r w:rsidRPr="0037566A">
      <w:rPr>
        <w:sz w:val="18"/>
        <w:szCs w:val="18"/>
      </w:rPr>
      <w:tab/>
    </w:r>
    <w:sdt>
      <w:sdtPr>
        <w:rPr>
          <w:sz w:val="18"/>
          <w:szCs w:val="18"/>
        </w:rPr>
        <w:id w:val="-92402875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F9394E">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F9394E">
          <w:rPr>
            <w:bCs/>
            <w:noProof/>
            <w:sz w:val="18"/>
            <w:szCs w:val="18"/>
          </w:rPr>
          <w:t>2</w:t>
        </w:r>
        <w:r w:rsidRPr="0037566A">
          <w:rPr>
            <w:bCs/>
            <w:sz w:val="18"/>
            <w:szCs w:val="18"/>
          </w:rPr>
          <w:fldChar w:fldCharType="end"/>
        </w:r>
      </w:sdtContent>
    </w:sdt>
  </w:p>
  <w:p w14:paraId="7A8AEEF8" w14:textId="77777777" w:rsidR="00FC0C98" w:rsidRDefault="00FC0C98" w:rsidP="00842CA0">
    <w:pPr>
      <w:spacing w:after="0"/>
      <w:ind w:left="-1418"/>
    </w:pPr>
    <w:r>
      <w:rPr>
        <w:noProof/>
        <w:lang w:eastAsia="en-AU"/>
      </w:rPr>
      <w:drawing>
        <wp:inline distT="0" distB="0" distL="0" distR="0" wp14:anchorId="22C413FE" wp14:editId="573FC905">
          <wp:extent cx="7560000" cy="358181"/>
          <wp:effectExtent l="0" t="0" r="3175" b="3810"/>
          <wp:docPr id="7" name="Picture 7" descr="Purple Border " title="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l="1935" t="-12324" r="1078" b="19102"/>
                  <a:stretch/>
                </pic:blipFill>
                <pic:spPr bwMode="auto">
                  <a:xfrm>
                    <a:off x="0" y="0"/>
                    <a:ext cx="7560000" cy="358181"/>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8BC86" w14:textId="7D253C39" w:rsidR="00E23218" w:rsidRPr="00CD5C1E" w:rsidRDefault="00CD5C1E" w:rsidP="00CD5C1E">
    <w:pPr>
      <w:pStyle w:val="Footer"/>
      <w:rPr>
        <w:i/>
        <w:iCs/>
        <w:sz w:val="18"/>
        <w:szCs w:val="18"/>
      </w:rPr>
    </w:pPr>
    <w:r w:rsidRPr="00CD5C1E">
      <w:rPr>
        <w:i/>
        <w:iCs/>
        <w:sz w:val="18"/>
        <w:szCs w:val="18"/>
      </w:rPr>
      <w:t xml:space="preserve">Source: Cultural Funding by Government </w:t>
    </w:r>
    <w:r>
      <w:rPr>
        <w:i/>
        <w:iCs/>
        <w:noProof/>
        <w:sz w:val="18"/>
        <w:szCs w:val="18"/>
        <w:lang w:eastAsia="en-AU"/>
      </w:rPr>
      <w:t>202</w:t>
    </w:r>
    <w:r w:rsidR="002E2228">
      <w:rPr>
        <w:i/>
        <w:iCs/>
        <w:noProof/>
        <w:sz w:val="18"/>
        <w:szCs w:val="18"/>
        <w:lang w:eastAsia="en-AU"/>
      </w:rPr>
      <w:t>3</w:t>
    </w:r>
    <w:r>
      <w:t>–</w:t>
    </w:r>
    <w:r>
      <w:rPr>
        <w:i/>
        <w:iCs/>
        <w:noProof/>
        <w:sz w:val="18"/>
        <w:szCs w:val="18"/>
        <w:lang w:eastAsia="en-AU"/>
      </w:rPr>
      <w:t>2</w:t>
    </w:r>
    <w:r w:rsidR="002E2228">
      <w:rPr>
        <w:i/>
        <w:iCs/>
        <w:noProof/>
        <w:sz w:val="18"/>
        <w:szCs w:val="18"/>
        <w:lang w:eastAsia="en-AU"/>
      </w:rPr>
      <w:t>4</w:t>
    </w:r>
    <w:r>
      <w:rPr>
        <w:noProof/>
        <w:sz w:val="18"/>
        <w:szCs w:val="18"/>
        <w:lang w:eastAsia="en-AU"/>
      </w:rPr>
      <w:t xml:space="preserve"> </w:t>
    </w:r>
    <w:r w:rsidRPr="00CD5C1E">
      <w:rPr>
        <w:i/>
        <w:iCs/>
        <w:sz w:val="18"/>
        <w:szCs w:val="18"/>
      </w:rPr>
      <w:t>survey</w:t>
    </w:r>
  </w:p>
  <w:p w14:paraId="471F2EF6" w14:textId="0E44F1C9" w:rsidR="00FC0C98" w:rsidRPr="00477982" w:rsidRDefault="00DD4ACA" w:rsidP="00477982">
    <w:pPr>
      <w:pStyle w:val="Footer"/>
      <w:ind w:left="-1418"/>
      <w:rPr>
        <w:rStyle w:val="Hyperlink"/>
        <w:color w:val="auto"/>
        <w:u w:val="none"/>
      </w:rPr>
    </w:pPr>
    <w:r>
      <w:rPr>
        <w:noProof/>
        <w:lang w:eastAsia="en-AU"/>
      </w:rPr>
      <w:drawing>
        <wp:inline distT="0" distB="0" distL="0" distR="0" wp14:anchorId="05FC6D49" wp14:editId="5F8C6415">
          <wp:extent cx="9511794" cy="334010"/>
          <wp:effectExtent l="0" t="0" r="0" b="8890"/>
          <wp:docPr id="5" name="Picture 5" descr="Purple Border " title="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l="1935" t="-12324" r="1078" b="19102"/>
                  <a:stretch/>
                </pic:blipFill>
                <pic:spPr bwMode="auto">
                  <a:xfrm>
                    <a:off x="0" y="0"/>
                    <a:ext cx="10076050" cy="353824"/>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8E47A" w14:textId="77777777" w:rsidR="009638D5" w:rsidRDefault="009638D5" w:rsidP="002117E6">
      <w:pPr>
        <w:spacing w:after="0"/>
      </w:pPr>
      <w:r>
        <w:separator/>
      </w:r>
    </w:p>
  </w:footnote>
  <w:footnote w:type="continuationSeparator" w:id="0">
    <w:p w14:paraId="683A7F2C" w14:textId="77777777" w:rsidR="009638D5" w:rsidRDefault="009638D5" w:rsidP="002117E6">
      <w:pPr>
        <w:spacing w:after="0"/>
      </w:pPr>
      <w:r>
        <w:continuationSeparator/>
      </w:r>
    </w:p>
  </w:footnote>
  <w:footnote w:id="1">
    <w:p w14:paraId="548ABC5D" w14:textId="0CCA1D50" w:rsidR="00CB2803" w:rsidRPr="00CB2803" w:rsidRDefault="00CB2803">
      <w:pPr>
        <w:pStyle w:val="FootnoteText"/>
        <w:rPr>
          <w:sz w:val="17"/>
          <w:szCs w:val="17"/>
        </w:rPr>
      </w:pPr>
      <w:r w:rsidRPr="00CB2803">
        <w:rPr>
          <w:rStyle w:val="FootnoteReference"/>
          <w:sz w:val="17"/>
          <w:szCs w:val="17"/>
        </w:rPr>
        <w:footnoteRef/>
      </w:r>
      <w:r w:rsidRPr="00CB2803">
        <w:rPr>
          <w:sz w:val="17"/>
          <w:szCs w:val="17"/>
        </w:rPr>
        <w:t xml:space="preserve"> No survey was conducted for 2022–23 due to the move to a biennial collection cycle.</w:t>
      </w:r>
    </w:p>
  </w:footnote>
  <w:footnote w:id="2">
    <w:p w14:paraId="3DA51674" w14:textId="77777777" w:rsidR="00E87F6E" w:rsidRPr="00DB679F" w:rsidRDefault="00E87F6E" w:rsidP="00E87F6E">
      <w:pPr>
        <w:pStyle w:val="FootnoteText"/>
        <w:rPr>
          <w:sz w:val="17"/>
          <w:szCs w:val="17"/>
        </w:rPr>
      </w:pPr>
      <w:r w:rsidRPr="001472DF">
        <w:rPr>
          <w:rStyle w:val="FootnoteReference"/>
          <w:sz w:val="18"/>
          <w:szCs w:val="18"/>
        </w:rPr>
        <w:footnoteRef/>
      </w:r>
      <w:r w:rsidRPr="001472DF">
        <w:rPr>
          <w:sz w:val="18"/>
          <w:szCs w:val="18"/>
        </w:rPr>
        <w:t xml:space="preserve"> </w:t>
      </w:r>
      <w:r w:rsidRPr="00DB679F">
        <w:rPr>
          <w:sz w:val="17"/>
          <w:szCs w:val="17"/>
        </w:rPr>
        <w:t>Includes $80.0m targeted cultural and creative sector COVID support funding, reported across categories and totals.</w:t>
      </w:r>
    </w:p>
  </w:footnote>
  <w:footnote w:id="3">
    <w:p w14:paraId="427B7A99" w14:textId="17ACBC55" w:rsidR="00E87F6E" w:rsidRPr="00E85D35" w:rsidRDefault="00E87F6E" w:rsidP="00E87F6E">
      <w:pPr>
        <w:pStyle w:val="FootnoteText"/>
        <w:rPr>
          <w:sz w:val="18"/>
          <w:szCs w:val="18"/>
        </w:rPr>
      </w:pPr>
      <w:r w:rsidRPr="00DB679F">
        <w:rPr>
          <w:rStyle w:val="FootnoteReference"/>
          <w:sz w:val="17"/>
          <w:szCs w:val="17"/>
        </w:rPr>
        <w:footnoteRef/>
      </w:r>
      <w:r w:rsidRPr="00DB679F">
        <w:rPr>
          <w:sz w:val="17"/>
          <w:szCs w:val="17"/>
        </w:rPr>
        <w:t xml:space="preserve"> </w:t>
      </w:r>
      <w:r w:rsidRPr="00DA694B">
        <w:rPr>
          <w:sz w:val="17"/>
          <w:szCs w:val="17"/>
        </w:rPr>
        <w:t>Includes $26</w:t>
      </w:r>
      <w:r>
        <w:rPr>
          <w:sz w:val="17"/>
          <w:szCs w:val="17"/>
        </w:rPr>
        <w:t>7.4</w:t>
      </w:r>
      <w:r w:rsidRPr="00DA694B">
        <w:rPr>
          <w:sz w:val="17"/>
          <w:szCs w:val="17"/>
        </w:rPr>
        <w:t xml:space="preserve">m targeted cultural and creative sector COVID support funding, reported across categories and totals. </w:t>
      </w:r>
      <w:bookmarkStart w:id="0" w:name="_Hlk194664242"/>
      <w:r w:rsidRPr="00DA694B">
        <w:rPr>
          <w:sz w:val="17"/>
          <w:szCs w:val="17"/>
        </w:rPr>
        <w:t xml:space="preserve">$5.9m </w:t>
      </w:r>
      <w:r w:rsidR="00DA6E76">
        <w:rPr>
          <w:sz w:val="17"/>
          <w:szCs w:val="17"/>
        </w:rPr>
        <w:t xml:space="preserve">of this expenditure </w:t>
      </w:r>
      <w:r w:rsidRPr="00DA694B">
        <w:rPr>
          <w:sz w:val="17"/>
          <w:szCs w:val="17"/>
        </w:rPr>
        <w:t>is included in the totals only.</w:t>
      </w:r>
      <w:bookmarkEnd w:id="0"/>
    </w:p>
  </w:footnote>
  <w:footnote w:id="4">
    <w:p w14:paraId="3128D768" w14:textId="77777777" w:rsidR="00914F88" w:rsidRPr="00DB679F" w:rsidRDefault="00914F88" w:rsidP="00E87F6E">
      <w:pPr>
        <w:pStyle w:val="FootnoteText"/>
        <w:rPr>
          <w:sz w:val="17"/>
          <w:szCs w:val="17"/>
        </w:rPr>
      </w:pPr>
      <w:r w:rsidRPr="001472DF">
        <w:rPr>
          <w:rStyle w:val="FootnoteReference"/>
          <w:sz w:val="18"/>
          <w:szCs w:val="18"/>
        </w:rPr>
        <w:footnoteRef/>
      </w:r>
      <w:r w:rsidRPr="001472DF">
        <w:rPr>
          <w:sz w:val="18"/>
          <w:szCs w:val="18"/>
        </w:rPr>
        <w:t xml:space="preserve"> </w:t>
      </w:r>
      <w:r w:rsidRPr="00DB679F">
        <w:rPr>
          <w:sz w:val="17"/>
          <w:szCs w:val="17"/>
        </w:rPr>
        <w:t>Includes $80.0m targeted cultural and creative sector COVID support funding, reported across categories and totals.</w:t>
      </w:r>
    </w:p>
  </w:footnote>
  <w:footnote w:id="5">
    <w:p w14:paraId="4EB100FB" w14:textId="0896B4DB" w:rsidR="00914F88" w:rsidRPr="00E85D35" w:rsidRDefault="00914F88" w:rsidP="00E87F6E">
      <w:pPr>
        <w:pStyle w:val="FootnoteText"/>
        <w:rPr>
          <w:sz w:val="18"/>
          <w:szCs w:val="18"/>
        </w:rPr>
      </w:pPr>
      <w:r w:rsidRPr="00DB679F">
        <w:rPr>
          <w:rStyle w:val="FootnoteReference"/>
          <w:sz w:val="17"/>
          <w:szCs w:val="17"/>
        </w:rPr>
        <w:footnoteRef/>
      </w:r>
      <w:r w:rsidRPr="00DB679F">
        <w:rPr>
          <w:sz w:val="17"/>
          <w:szCs w:val="17"/>
        </w:rPr>
        <w:t xml:space="preserve"> </w:t>
      </w:r>
      <w:r w:rsidRPr="00DA694B">
        <w:rPr>
          <w:sz w:val="17"/>
          <w:szCs w:val="17"/>
        </w:rPr>
        <w:t>Includes $26</w:t>
      </w:r>
      <w:r>
        <w:rPr>
          <w:sz w:val="17"/>
          <w:szCs w:val="17"/>
        </w:rPr>
        <w:t>7.4</w:t>
      </w:r>
      <w:r w:rsidRPr="00DA694B">
        <w:rPr>
          <w:sz w:val="17"/>
          <w:szCs w:val="17"/>
        </w:rPr>
        <w:t xml:space="preserve">m targeted cultural and creative sector COVID support funding, reported across categories and totals. $5.9m </w:t>
      </w:r>
      <w:r w:rsidR="00DA6E76">
        <w:rPr>
          <w:sz w:val="17"/>
          <w:szCs w:val="17"/>
        </w:rPr>
        <w:t xml:space="preserve">of this expenditure </w:t>
      </w:r>
      <w:r w:rsidRPr="00DA694B">
        <w:rPr>
          <w:sz w:val="17"/>
          <w:szCs w:val="17"/>
        </w:rPr>
        <w:t>is included in the totals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FC88A" w14:textId="0D29BED8" w:rsidR="00835593" w:rsidRDefault="000F368C">
    <w:pPr>
      <w:pStyle w:val="Header"/>
    </w:pPr>
    <w:r>
      <w:rPr>
        <w:noProof/>
      </w:rPr>
      <mc:AlternateContent>
        <mc:Choice Requires="wps">
          <w:drawing>
            <wp:anchor distT="0" distB="0" distL="0" distR="0" simplePos="0" relativeHeight="251659264" behindDoc="0" locked="0" layoutInCell="1" allowOverlap="1" wp14:anchorId="158B157A" wp14:editId="691D3142">
              <wp:simplePos x="635" y="635"/>
              <wp:positionH relativeFrom="page">
                <wp:align>center</wp:align>
              </wp:positionH>
              <wp:positionV relativeFrom="page">
                <wp:align>top</wp:align>
              </wp:positionV>
              <wp:extent cx="459740" cy="345440"/>
              <wp:effectExtent l="0" t="0" r="16510" b="16510"/>
              <wp:wrapNone/>
              <wp:docPr id="300925560" name="Text Box 2"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4396CA3" w14:textId="7A097617" w:rsidR="000F368C" w:rsidRPr="000F368C" w:rsidRDefault="000F368C" w:rsidP="000F368C">
                          <w:pPr>
                            <w:spacing w:after="0"/>
                            <w:rPr>
                              <w:rFonts w:ascii="Calibri" w:eastAsia="Calibri" w:hAnsi="Calibri" w:cs="Calibri"/>
                              <w:noProof/>
                              <w:color w:val="FF0000"/>
                              <w:sz w:val="20"/>
                              <w:szCs w:val="20"/>
                            </w:rPr>
                          </w:pPr>
                          <w:r w:rsidRPr="000F368C">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8B157A"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" filled="f" stroked="f">
              <v:textbox style="mso-fit-shape-to-text:t" inset="0,15pt,0,0">
                <w:txbxContent>
                  <w:p w14:paraId="14396CA3" w14:textId="7A097617" w:rsidR="000F368C" w:rsidRPr="000F368C" w:rsidRDefault="000F368C" w:rsidP="000F368C">
                    <w:pPr>
                      <w:spacing w:after="0"/>
                      <w:rPr>
                        <w:rFonts w:ascii="Calibri" w:eastAsia="Calibri" w:hAnsi="Calibri" w:cs="Calibri"/>
                        <w:noProof/>
                        <w:color w:val="FF0000"/>
                        <w:sz w:val="20"/>
                        <w:szCs w:val="20"/>
                      </w:rPr>
                    </w:pPr>
                    <w:r w:rsidRPr="000F368C">
                      <w:rPr>
                        <w:rFonts w:ascii="Calibri" w:eastAsia="Calibri" w:hAnsi="Calibri" w:cs="Calibri"/>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8BF70" w14:textId="28EFCFD8" w:rsidR="00FC0C98" w:rsidRDefault="00FC0C98" w:rsidP="00477982">
    <w:pPr>
      <w:pStyle w:val="Header"/>
      <w:ind w:left="-1418"/>
    </w:pPr>
    <w:r>
      <w:rPr>
        <w:noProof/>
        <w:lang w:eastAsia="en-AU"/>
      </w:rPr>
      <w:drawing>
        <wp:inline distT="0" distB="0" distL="0" distR="0" wp14:anchorId="33197DE3" wp14:editId="13054FF6">
          <wp:extent cx="7560000" cy="544479"/>
          <wp:effectExtent l="0" t="0" r="3175" b="8255"/>
          <wp:docPr id="6" name="Picture 6" descr="Purple Border" title="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1654" t="19214" r="1857"/>
                  <a:stretch/>
                </pic:blipFill>
                <pic:spPr bwMode="auto">
                  <a:xfrm>
                    <a:off x="0" y="0"/>
                    <a:ext cx="7560000" cy="544479"/>
                  </a:xfrm>
                  <a:prstGeom prst="rect">
                    <a:avLst/>
                  </a:prstGeom>
                  <a:noFill/>
                  <a:ln>
                    <a:noFill/>
                  </a:ln>
                  <a:extLst>
                    <a:ext uri="{53640926-AAD7-44D8-BBD7-CCE9431645EC}">
                      <a14:shadowObscured xmlns:a14="http://schemas.microsoft.com/office/drawing/2010/main"/>
                    </a:ext>
                  </a:extLst>
                </pic:spPr>
              </pic:pic>
            </a:graphicData>
          </a:graphic>
        </wp:inline>
      </w:drawing>
    </w:r>
  </w:p>
  <w:p w14:paraId="7D05254B" w14:textId="7558EE39" w:rsidR="00FC0C98" w:rsidRDefault="00CD5C1E" w:rsidP="00A0554C">
    <w:pPr>
      <w:pStyle w:val="Header"/>
      <w:tabs>
        <w:tab w:val="clear" w:pos="9026"/>
        <w:tab w:val="right" w:pos="9333"/>
      </w:tabs>
    </w:pPr>
    <w:r>
      <w:t xml:space="preserve">Cultural and Creative </w:t>
    </w:r>
    <w:r w:rsidR="0070126E" w:rsidRPr="00CD5C1E">
      <w:t>Statistics Working Group</w:t>
    </w:r>
    <w:r w:rsidR="00FC0C98" w:rsidRPr="00A96536">
      <w:tab/>
    </w:r>
    <w:r w:rsidR="00FC0C98" w:rsidRPr="00A96536">
      <w:tab/>
    </w:r>
    <w:r w:rsidR="00070122">
      <w:t>September</w:t>
    </w:r>
    <w:r w:rsidR="00FC0C98">
      <w:t xml:space="preserve"> 202</w:t>
    </w:r>
    <w:r w:rsidR="002E222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12D9E"/>
    <w:multiLevelType w:val="hybridMultilevel"/>
    <w:tmpl w:val="7900756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17C6A73"/>
    <w:multiLevelType w:val="hybridMultilevel"/>
    <w:tmpl w:val="528A0CE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2B508A"/>
    <w:multiLevelType w:val="hybridMultilevel"/>
    <w:tmpl w:val="F3CA4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AE015F"/>
    <w:multiLevelType w:val="hybridMultilevel"/>
    <w:tmpl w:val="04A4442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F7139D"/>
    <w:multiLevelType w:val="hybridMultilevel"/>
    <w:tmpl w:val="5B38CF7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A44A47"/>
    <w:multiLevelType w:val="hybridMultilevel"/>
    <w:tmpl w:val="B5D406EA"/>
    <w:lvl w:ilvl="0" w:tplc="B0C03D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793E1F26"/>
    <w:multiLevelType w:val="hybridMultilevel"/>
    <w:tmpl w:val="1A685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9"/>
  </w:num>
  <w:num w:numId="5">
    <w:abstractNumId w:val="2"/>
  </w:num>
  <w:num w:numId="6">
    <w:abstractNumId w:val="6"/>
  </w:num>
  <w:num w:numId="7">
    <w:abstractNumId w:val="0"/>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13E"/>
    <w:rsid w:val="00024E6D"/>
    <w:rsid w:val="00024EAC"/>
    <w:rsid w:val="0002648D"/>
    <w:rsid w:val="00042BC6"/>
    <w:rsid w:val="0004534F"/>
    <w:rsid w:val="00066DCE"/>
    <w:rsid w:val="00070122"/>
    <w:rsid w:val="000756EC"/>
    <w:rsid w:val="0007628F"/>
    <w:rsid w:val="000978E5"/>
    <w:rsid w:val="000B27A8"/>
    <w:rsid w:val="000C3E44"/>
    <w:rsid w:val="000D639E"/>
    <w:rsid w:val="000E291B"/>
    <w:rsid w:val="000F368C"/>
    <w:rsid w:val="0010228A"/>
    <w:rsid w:val="0010452B"/>
    <w:rsid w:val="00111A64"/>
    <w:rsid w:val="00124616"/>
    <w:rsid w:val="00133504"/>
    <w:rsid w:val="00136687"/>
    <w:rsid w:val="00141567"/>
    <w:rsid w:val="001471EA"/>
    <w:rsid w:val="001472FC"/>
    <w:rsid w:val="00151F17"/>
    <w:rsid w:val="001625B7"/>
    <w:rsid w:val="001674E8"/>
    <w:rsid w:val="001715EF"/>
    <w:rsid w:val="001736CC"/>
    <w:rsid w:val="00185E9F"/>
    <w:rsid w:val="0019099B"/>
    <w:rsid w:val="00196AB2"/>
    <w:rsid w:val="0019701B"/>
    <w:rsid w:val="001A542F"/>
    <w:rsid w:val="001A5AA9"/>
    <w:rsid w:val="001B6BC9"/>
    <w:rsid w:val="001C7827"/>
    <w:rsid w:val="001D0109"/>
    <w:rsid w:val="001D64AC"/>
    <w:rsid w:val="001D7905"/>
    <w:rsid w:val="001E0D00"/>
    <w:rsid w:val="00200D9F"/>
    <w:rsid w:val="002117E6"/>
    <w:rsid w:val="00220E32"/>
    <w:rsid w:val="0023201F"/>
    <w:rsid w:val="00233C13"/>
    <w:rsid w:val="00234C00"/>
    <w:rsid w:val="002352F9"/>
    <w:rsid w:val="0024033A"/>
    <w:rsid w:val="00242B78"/>
    <w:rsid w:val="002454AC"/>
    <w:rsid w:val="002659D3"/>
    <w:rsid w:val="00265D2E"/>
    <w:rsid w:val="0026661C"/>
    <w:rsid w:val="00274DBD"/>
    <w:rsid w:val="00285271"/>
    <w:rsid w:val="00290FEC"/>
    <w:rsid w:val="00293DD6"/>
    <w:rsid w:val="002966CA"/>
    <w:rsid w:val="002A3B4B"/>
    <w:rsid w:val="002A4338"/>
    <w:rsid w:val="002C1465"/>
    <w:rsid w:val="002C5369"/>
    <w:rsid w:val="002C7627"/>
    <w:rsid w:val="002D2A6D"/>
    <w:rsid w:val="002D32E9"/>
    <w:rsid w:val="002E2228"/>
    <w:rsid w:val="002E2477"/>
    <w:rsid w:val="002E46A4"/>
    <w:rsid w:val="002F0402"/>
    <w:rsid w:val="002F3581"/>
    <w:rsid w:val="002F3895"/>
    <w:rsid w:val="00302513"/>
    <w:rsid w:val="00303786"/>
    <w:rsid w:val="00327F06"/>
    <w:rsid w:val="00335334"/>
    <w:rsid w:val="00336DDD"/>
    <w:rsid w:val="0034581A"/>
    <w:rsid w:val="003578E5"/>
    <w:rsid w:val="00363704"/>
    <w:rsid w:val="00364941"/>
    <w:rsid w:val="00381364"/>
    <w:rsid w:val="00382743"/>
    <w:rsid w:val="00386D19"/>
    <w:rsid w:val="00390EED"/>
    <w:rsid w:val="0039367A"/>
    <w:rsid w:val="003A02AF"/>
    <w:rsid w:val="003B5B1D"/>
    <w:rsid w:val="003C4283"/>
    <w:rsid w:val="003C73DB"/>
    <w:rsid w:val="003D142F"/>
    <w:rsid w:val="003E78EF"/>
    <w:rsid w:val="003F495D"/>
    <w:rsid w:val="00400E77"/>
    <w:rsid w:val="0041185C"/>
    <w:rsid w:val="00414361"/>
    <w:rsid w:val="00420E56"/>
    <w:rsid w:val="00421AF3"/>
    <w:rsid w:val="00423090"/>
    <w:rsid w:val="00426F0B"/>
    <w:rsid w:val="00431A7B"/>
    <w:rsid w:val="00433E7A"/>
    <w:rsid w:val="00436F4C"/>
    <w:rsid w:val="00450D6E"/>
    <w:rsid w:val="004561B6"/>
    <w:rsid w:val="00456F44"/>
    <w:rsid w:val="0046174B"/>
    <w:rsid w:val="0046718A"/>
    <w:rsid w:val="00467552"/>
    <w:rsid w:val="00473379"/>
    <w:rsid w:val="00475353"/>
    <w:rsid w:val="004755A2"/>
    <w:rsid w:val="00477982"/>
    <w:rsid w:val="00480743"/>
    <w:rsid w:val="004819E5"/>
    <w:rsid w:val="0048626B"/>
    <w:rsid w:val="0048644E"/>
    <w:rsid w:val="004A35A1"/>
    <w:rsid w:val="004B4F3D"/>
    <w:rsid w:val="004D0B6D"/>
    <w:rsid w:val="004D3A3E"/>
    <w:rsid w:val="004E59C7"/>
    <w:rsid w:val="004F4419"/>
    <w:rsid w:val="004F74C4"/>
    <w:rsid w:val="005043D9"/>
    <w:rsid w:val="00506643"/>
    <w:rsid w:val="00514C96"/>
    <w:rsid w:val="00526687"/>
    <w:rsid w:val="005325B5"/>
    <w:rsid w:val="005377F7"/>
    <w:rsid w:val="00537A49"/>
    <w:rsid w:val="00542695"/>
    <w:rsid w:val="00544465"/>
    <w:rsid w:val="00553A24"/>
    <w:rsid w:val="005579A8"/>
    <w:rsid w:val="005604C1"/>
    <w:rsid w:val="00561190"/>
    <w:rsid w:val="005658F1"/>
    <w:rsid w:val="00565B47"/>
    <w:rsid w:val="00567E56"/>
    <w:rsid w:val="005741CF"/>
    <w:rsid w:val="00575A5A"/>
    <w:rsid w:val="005932D0"/>
    <w:rsid w:val="0059445E"/>
    <w:rsid w:val="00597F9B"/>
    <w:rsid w:val="005B3551"/>
    <w:rsid w:val="005C2271"/>
    <w:rsid w:val="005C7C65"/>
    <w:rsid w:val="005F23E0"/>
    <w:rsid w:val="005F6B46"/>
    <w:rsid w:val="006015E9"/>
    <w:rsid w:val="00605481"/>
    <w:rsid w:val="006056B0"/>
    <w:rsid w:val="0061446D"/>
    <w:rsid w:val="00625397"/>
    <w:rsid w:val="006323F4"/>
    <w:rsid w:val="00632D6D"/>
    <w:rsid w:val="0064138E"/>
    <w:rsid w:val="00645758"/>
    <w:rsid w:val="00647112"/>
    <w:rsid w:val="0066562E"/>
    <w:rsid w:val="006758B9"/>
    <w:rsid w:val="00682D89"/>
    <w:rsid w:val="00693994"/>
    <w:rsid w:val="006970A6"/>
    <w:rsid w:val="006A08AD"/>
    <w:rsid w:val="006A2F0E"/>
    <w:rsid w:val="006A5A29"/>
    <w:rsid w:val="006C346F"/>
    <w:rsid w:val="006C5A35"/>
    <w:rsid w:val="006C5A9D"/>
    <w:rsid w:val="006C6FC8"/>
    <w:rsid w:val="006D0316"/>
    <w:rsid w:val="006F06FD"/>
    <w:rsid w:val="00700E43"/>
    <w:rsid w:val="0070126E"/>
    <w:rsid w:val="00705B86"/>
    <w:rsid w:val="00705FA6"/>
    <w:rsid w:val="007260A2"/>
    <w:rsid w:val="007316EF"/>
    <w:rsid w:val="0074751D"/>
    <w:rsid w:val="00753BB6"/>
    <w:rsid w:val="00767144"/>
    <w:rsid w:val="00780D64"/>
    <w:rsid w:val="00784F67"/>
    <w:rsid w:val="00790F76"/>
    <w:rsid w:val="00794083"/>
    <w:rsid w:val="007A4B0F"/>
    <w:rsid w:val="007A5DD1"/>
    <w:rsid w:val="007B5C0F"/>
    <w:rsid w:val="007B5FCC"/>
    <w:rsid w:val="007D55ED"/>
    <w:rsid w:val="0080307E"/>
    <w:rsid w:val="00813AD2"/>
    <w:rsid w:val="008169A6"/>
    <w:rsid w:val="00817F9A"/>
    <w:rsid w:val="0082072A"/>
    <w:rsid w:val="0082186E"/>
    <w:rsid w:val="008228E2"/>
    <w:rsid w:val="00834DE8"/>
    <w:rsid w:val="00835593"/>
    <w:rsid w:val="00842CA0"/>
    <w:rsid w:val="00844F5B"/>
    <w:rsid w:val="0085278E"/>
    <w:rsid w:val="0085286D"/>
    <w:rsid w:val="00860792"/>
    <w:rsid w:val="00860C86"/>
    <w:rsid w:val="008646E6"/>
    <w:rsid w:val="00864777"/>
    <w:rsid w:val="00866475"/>
    <w:rsid w:val="00867254"/>
    <w:rsid w:val="00885C3E"/>
    <w:rsid w:val="00893360"/>
    <w:rsid w:val="008A4B1F"/>
    <w:rsid w:val="008B2A19"/>
    <w:rsid w:val="008B703E"/>
    <w:rsid w:val="008B767F"/>
    <w:rsid w:val="008C0B20"/>
    <w:rsid w:val="008C22DC"/>
    <w:rsid w:val="008D4E53"/>
    <w:rsid w:val="008E165C"/>
    <w:rsid w:val="008F7FA4"/>
    <w:rsid w:val="00906C79"/>
    <w:rsid w:val="00912280"/>
    <w:rsid w:val="00914F88"/>
    <w:rsid w:val="00927FF3"/>
    <w:rsid w:val="009313D2"/>
    <w:rsid w:val="00937283"/>
    <w:rsid w:val="0094124E"/>
    <w:rsid w:val="00943B88"/>
    <w:rsid w:val="00955AA8"/>
    <w:rsid w:val="00957422"/>
    <w:rsid w:val="009638D5"/>
    <w:rsid w:val="009654E0"/>
    <w:rsid w:val="00966C24"/>
    <w:rsid w:val="00993DFC"/>
    <w:rsid w:val="0099765C"/>
    <w:rsid w:val="009A37CE"/>
    <w:rsid w:val="009A5A99"/>
    <w:rsid w:val="009B2FC4"/>
    <w:rsid w:val="009B74C6"/>
    <w:rsid w:val="009B7EF0"/>
    <w:rsid w:val="009C01D1"/>
    <w:rsid w:val="009C47F7"/>
    <w:rsid w:val="009C627D"/>
    <w:rsid w:val="009D0D57"/>
    <w:rsid w:val="009D518B"/>
    <w:rsid w:val="009E12E4"/>
    <w:rsid w:val="009E3CE4"/>
    <w:rsid w:val="009E59A2"/>
    <w:rsid w:val="009F2B81"/>
    <w:rsid w:val="00A0554C"/>
    <w:rsid w:val="00A06663"/>
    <w:rsid w:val="00A150F0"/>
    <w:rsid w:val="00A22246"/>
    <w:rsid w:val="00A2250B"/>
    <w:rsid w:val="00A241FE"/>
    <w:rsid w:val="00A26B34"/>
    <w:rsid w:val="00A35CD0"/>
    <w:rsid w:val="00A44D6C"/>
    <w:rsid w:val="00A57B08"/>
    <w:rsid w:val="00A606B1"/>
    <w:rsid w:val="00A66771"/>
    <w:rsid w:val="00A830DE"/>
    <w:rsid w:val="00A8496B"/>
    <w:rsid w:val="00A91A72"/>
    <w:rsid w:val="00A942AD"/>
    <w:rsid w:val="00AA05B8"/>
    <w:rsid w:val="00AA38E6"/>
    <w:rsid w:val="00AA63B7"/>
    <w:rsid w:val="00AB4C24"/>
    <w:rsid w:val="00AC0B64"/>
    <w:rsid w:val="00AC1A69"/>
    <w:rsid w:val="00AC2BA3"/>
    <w:rsid w:val="00AC705F"/>
    <w:rsid w:val="00AD0CD5"/>
    <w:rsid w:val="00AE4F02"/>
    <w:rsid w:val="00AF5FC0"/>
    <w:rsid w:val="00AF7C05"/>
    <w:rsid w:val="00B049A4"/>
    <w:rsid w:val="00B04E5C"/>
    <w:rsid w:val="00B1045C"/>
    <w:rsid w:val="00B125BB"/>
    <w:rsid w:val="00B326B5"/>
    <w:rsid w:val="00B32DA1"/>
    <w:rsid w:val="00B43B95"/>
    <w:rsid w:val="00B43C56"/>
    <w:rsid w:val="00B52007"/>
    <w:rsid w:val="00B54081"/>
    <w:rsid w:val="00B55747"/>
    <w:rsid w:val="00B57415"/>
    <w:rsid w:val="00B704AE"/>
    <w:rsid w:val="00B723E4"/>
    <w:rsid w:val="00B93737"/>
    <w:rsid w:val="00B945EA"/>
    <w:rsid w:val="00B946E2"/>
    <w:rsid w:val="00B95F3C"/>
    <w:rsid w:val="00B96893"/>
    <w:rsid w:val="00BA0A5A"/>
    <w:rsid w:val="00BB5CBB"/>
    <w:rsid w:val="00BC0D30"/>
    <w:rsid w:val="00BC329E"/>
    <w:rsid w:val="00BC4BB1"/>
    <w:rsid w:val="00BC7D72"/>
    <w:rsid w:val="00BD6A76"/>
    <w:rsid w:val="00BE1190"/>
    <w:rsid w:val="00BE1F34"/>
    <w:rsid w:val="00BE214A"/>
    <w:rsid w:val="00BE7E66"/>
    <w:rsid w:val="00C02515"/>
    <w:rsid w:val="00C149E7"/>
    <w:rsid w:val="00C16794"/>
    <w:rsid w:val="00C207D6"/>
    <w:rsid w:val="00C240E2"/>
    <w:rsid w:val="00C3695F"/>
    <w:rsid w:val="00C451EE"/>
    <w:rsid w:val="00C5014B"/>
    <w:rsid w:val="00C55F55"/>
    <w:rsid w:val="00C576CB"/>
    <w:rsid w:val="00C91327"/>
    <w:rsid w:val="00C92FE2"/>
    <w:rsid w:val="00C9380B"/>
    <w:rsid w:val="00CA6415"/>
    <w:rsid w:val="00CB2803"/>
    <w:rsid w:val="00CB71DC"/>
    <w:rsid w:val="00CC246B"/>
    <w:rsid w:val="00CC4247"/>
    <w:rsid w:val="00CC75CC"/>
    <w:rsid w:val="00CD0CB6"/>
    <w:rsid w:val="00CD302D"/>
    <w:rsid w:val="00CD372E"/>
    <w:rsid w:val="00CD5C1E"/>
    <w:rsid w:val="00CD638F"/>
    <w:rsid w:val="00CD64B0"/>
    <w:rsid w:val="00CD73FD"/>
    <w:rsid w:val="00CE07F2"/>
    <w:rsid w:val="00CE5C90"/>
    <w:rsid w:val="00CF2BB9"/>
    <w:rsid w:val="00CF7812"/>
    <w:rsid w:val="00D03AE2"/>
    <w:rsid w:val="00D073DB"/>
    <w:rsid w:val="00D14C03"/>
    <w:rsid w:val="00D217C9"/>
    <w:rsid w:val="00D23630"/>
    <w:rsid w:val="00D266CC"/>
    <w:rsid w:val="00D44042"/>
    <w:rsid w:val="00D47936"/>
    <w:rsid w:val="00D521E7"/>
    <w:rsid w:val="00D71F8F"/>
    <w:rsid w:val="00D733BF"/>
    <w:rsid w:val="00D7465B"/>
    <w:rsid w:val="00D746E5"/>
    <w:rsid w:val="00D778B1"/>
    <w:rsid w:val="00D8228F"/>
    <w:rsid w:val="00D83E2C"/>
    <w:rsid w:val="00D849E8"/>
    <w:rsid w:val="00D86CAA"/>
    <w:rsid w:val="00D92957"/>
    <w:rsid w:val="00DA694B"/>
    <w:rsid w:val="00DA6E76"/>
    <w:rsid w:val="00DB4FA3"/>
    <w:rsid w:val="00DB679F"/>
    <w:rsid w:val="00DB7067"/>
    <w:rsid w:val="00DB7840"/>
    <w:rsid w:val="00DB7C2A"/>
    <w:rsid w:val="00DC17B6"/>
    <w:rsid w:val="00DC2DFA"/>
    <w:rsid w:val="00DC6A98"/>
    <w:rsid w:val="00DC6B7D"/>
    <w:rsid w:val="00DD2E4C"/>
    <w:rsid w:val="00DD4ACA"/>
    <w:rsid w:val="00DD5D24"/>
    <w:rsid w:val="00DD5D52"/>
    <w:rsid w:val="00DE1740"/>
    <w:rsid w:val="00DE390A"/>
    <w:rsid w:val="00E03DF5"/>
    <w:rsid w:val="00E06D3D"/>
    <w:rsid w:val="00E1497A"/>
    <w:rsid w:val="00E23218"/>
    <w:rsid w:val="00E34525"/>
    <w:rsid w:val="00E42F9F"/>
    <w:rsid w:val="00E51636"/>
    <w:rsid w:val="00E51D5C"/>
    <w:rsid w:val="00E63897"/>
    <w:rsid w:val="00E71039"/>
    <w:rsid w:val="00E75E9F"/>
    <w:rsid w:val="00E76886"/>
    <w:rsid w:val="00E819BF"/>
    <w:rsid w:val="00E85276"/>
    <w:rsid w:val="00E86B73"/>
    <w:rsid w:val="00E87F6E"/>
    <w:rsid w:val="00E92EB5"/>
    <w:rsid w:val="00E97404"/>
    <w:rsid w:val="00EA2800"/>
    <w:rsid w:val="00EA2F26"/>
    <w:rsid w:val="00EA46F1"/>
    <w:rsid w:val="00EA5BA4"/>
    <w:rsid w:val="00EA6D34"/>
    <w:rsid w:val="00EB40A5"/>
    <w:rsid w:val="00EC2BEA"/>
    <w:rsid w:val="00ED0209"/>
    <w:rsid w:val="00EE5043"/>
    <w:rsid w:val="00EE7759"/>
    <w:rsid w:val="00EF213E"/>
    <w:rsid w:val="00EF61B4"/>
    <w:rsid w:val="00F02CC1"/>
    <w:rsid w:val="00F14647"/>
    <w:rsid w:val="00F236CF"/>
    <w:rsid w:val="00F239E3"/>
    <w:rsid w:val="00F241F9"/>
    <w:rsid w:val="00F242E6"/>
    <w:rsid w:val="00F3567E"/>
    <w:rsid w:val="00F408EE"/>
    <w:rsid w:val="00F4220E"/>
    <w:rsid w:val="00F446C3"/>
    <w:rsid w:val="00F47D1E"/>
    <w:rsid w:val="00F51517"/>
    <w:rsid w:val="00F56262"/>
    <w:rsid w:val="00F67604"/>
    <w:rsid w:val="00F701E3"/>
    <w:rsid w:val="00F7051B"/>
    <w:rsid w:val="00F81ECA"/>
    <w:rsid w:val="00F86DEA"/>
    <w:rsid w:val="00F9394E"/>
    <w:rsid w:val="00F9793C"/>
    <w:rsid w:val="00FC0C98"/>
    <w:rsid w:val="00FC16F3"/>
    <w:rsid w:val="00FC2CDB"/>
    <w:rsid w:val="00FD5FED"/>
    <w:rsid w:val="00FE6661"/>
    <w:rsid w:val="00FE6B97"/>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95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7552"/>
    <w:pPr>
      <w:spacing w:after="200" w:line="240" w:lineRule="auto"/>
    </w:pPr>
  </w:style>
  <w:style w:type="paragraph" w:styleId="Heading1">
    <w:name w:val="heading 1"/>
    <w:basedOn w:val="Normal"/>
    <w:next w:val="Normal"/>
    <w:link w:val="Heading1Char"/>
    <w:uiPriority w:val="9"/>
    <w:qFormat/>
    <w:rsid w:val="00DC6A98"/>
    <w:pPr>
      <w:keepNext/>
      <w:spacing w:before="360" w:after="240"/>
      <w:outlineLvl w:val="0"/>
    </w:pPr>
    <w:rPr>
      <w:rFonts w:asciiTheme="majorHAnsi" w:eastAsiaTheme="majorEastAsia" w:hAnsiTheme="majorHAnsi" w:cstheme="majorBidi"/>
      <w:b/>
      <w:sz w:val="48"/>
      <w:szCs w:val="32"/>
      <w:lang w:eastAsia="en-US"/>
    </w:rPr>
  </w:style>
  <w:style w:type="paragraph" w:styleId="Heading2">
    <w:name w:val="heading 2"/>
    <w:basedOn w:val="Normal"/>
    <w:next w:val="Normal"/>
    <w:link w:val="Heading2Char"/>
    <w:uiPriority w:val="9"/>
    <w:unhideWhenUsed/>
    <w:qFormat/>
    <w:rsid w:val="00242B78"/>
    <w:pPr>
      <w:keepNext/>
      <w:outlineLvl w:val="1"/>
    </w:pPr>
    <w:rPr>
      <w:rFonts w:asciiTheme="majorHAnsi" w:eastAsiaTheme="majorEastAsia" w:hAnsiTheme="majorHAnsi" w:cstheme="majorBidi"/>
      <w:b/>
      <w:color w:val="554B87"/>
      <w:sz w:val="36"/>
      <w:szCs w:val="26"/>
      <w:lang w:eastAsia="en-US"/>
    </w:rPr>
  </w:style>
  <w:style w:type="paragraph" w:styleId="Heading3">
    <w:name w:val="heading 3"/>
    <w:basedOn w:val="Normal"/>
    <w:next w:val="Normal"/>
    <w:link w:val="Heading3Char"/>
    <w:uiPriority w:val="9"/>
    <w:unhideWhenUsed/>
    <w:qFormat/>
    <w:rsid w:val="00242B78"/>
    <w:pPr>
      <w:keepNext/>
      <w:spacing w:after="120"/>
      <w:outlineLvl w:val="2"/>
    </w:pPr>
    <w:rPr>
      <w:rFonts w:asciiTheme="majorHAnsi" w:eastAsiaTheme="majorEastAsia" w:hAnsiTheme="majorHAnsi" w:cstheme="majorBidi"/>
      <w:b/>
      <w:color w:val="554B87"/>
      <w:sz w:val="30"/>
      <w:szCs w:val="24"/>
      <w:lang w:eastAsia="en-US"/>
    </w:rPr>
  </w:style>
  <w:style w:type="paragraph" w:styleId="Heading4">
    <w:name w:val="heading 4"/>
    <w:basedOn w:val="Normal"/>
    <w:next w:val="Normal"/>
    <w:link w:val="Heading4Char"/>
    <w:uiPriority w:val="9"/>
    <w:unhideWhenUsed/>
    <w:qFormat/>
    <w:rsid w:val="00242B78"/>
    <w:pPr>
      <w:keepNext/>
      <w:keepLines/>
      <w:spacing w:after="120"/>
      <w:outlineLvl w:val="3"/>
    </w:pPr>
    <w:rPr>
      <w:rFonts w:asciiTheme="majorHAnsi" w:eastAsiaTheme="majorEastAsia" w:hAnsiTheme="majorHAnsi" w:cstheme="majorBidi"/>
      <w:b/>
      <w:bCs/>
      <w:color w:val="554B87"/>
      <w:sz w:val="24"/>
      <w:szCs w:val="24"/>
    </w:rPr>
  </w:style>
  <w:style w:type="paragraph" w:styleId="Heading5">
    <w:name w:val="heading 5"/>
    <w:basedOn w:val="Normal"/>
    <w:next w:val="Normal"/>
    <w:link w:val="Heading5Char"/>
    <w:uiPriority w:val="9"/>
    <w:unhideWhenUsed/>
    <w:qFormat/>
    <w:rsid w:val="00242B78"/>
    <w:pPr>
      <w:keepNext/>
      <w:keepLines/>
      <w:spacing w:after="60"/>
      <w:outlineLvl w:val="4"/>
    </w:pPr>
    <w:rPr>
      <w:rFonts w:asciiTheme="majorHAnsi" w:eastAsiaTheme="majorEastAsia" w:hAnsiTheme="majorHAnsi" w:cstheme="majorBidi"/>
      <w:b/>
      <w:color w:val="554B87"/>
    </w:rPr>
  </w:style>
  <w:style w:type="paragraph" w:styleId="Heading6">
    <w:name w:val="heading 6"/>
    <w:basedOn w:val="Normal"/>
    <w:next w:val="Normal"/>
    <w:link w:val="Heading6Char"/>
    <w:uiPriority w:val="9"/>
    <w:unhideWhenUsed/>
    <w:qFormat/>
    <w:rsid w:val="00242B78"/>
    <w:pPr>
      <w:keepNext/>
      <w:keepLines/>
      <w:spacing w:after="60"/>
      <w:outlineLvl w:val="5"/>
    </w:pPr>
    <w:rPr>
      <w:rFonts w:asciiTheme="majorHAnsi" w:eastAsiaTheme="majorEastAsia" w:hAnsiTheme="majorHAnsi" w:cstheme="majorBidi"/>
      <w:b/>
      <w:i/>
      <w:iCs/>
      <w:color w:val="554B87"/>
    </w:rPr>
  </w:style>
  <w:style w:type="paragraph" w:styleId="Heading7">
    <w:name w:val="heading 7"/>
    <w:basedOn w:val="Normal"/>
    <w:next w:val="Normal"/>
    <w:link w:val="Heading7Char"/>
    <w:uiPriority w:val="9"/>
    <w:unhideWhenUsed/>
    <w:qFormat/>
    <w:rsid w:val="00242B78"/>
    <w:pPr>
      <w:keepNext/>
      <w:keepLines/>
      <w:spacing w:before="40" w:after="0"/>
      <w:outlineLvl w:val="6"/>
    </w:pPr>
    <w:rPr>
      <w:rFonts w:asciiTheme="majorHAnsi" w:eastAsiaTheme="majorEastAsia" w:hAnsiTheme="majorHAnsi" w:cstheme="majorBidi"/>
      <w:b/>
      <w:i/>
      <w:iCs/>
      <w:color w:val="554B87"/>
    </w:rPr>
  </w:style>
  <w:style w:type="paragraph" w:styleId="Heading8">
    <w:name w:val="heading 8"/>
    <w:basedOn w:val="Normal"/>
    <w:next w:val="Normal"/>
    <w:link w:val="Heading8Char"/>
    <w:uiPriority w:val="9"/>
    <w:unhideWhenUsed/>
    <w:qFormat/>
    <w:rsid w:val="00242B78"/>
    <w:pPr>
      <w:keepNext/>
      <w:keepLines/>
      <w:spacing w:before="40" w:after="0"/>
      <w:outlineLvl w:val="7"/>
    </w:pPr>
    <w:rPr>
      <w:rFonts w:asciiTheme="majorHAnsi" w:eastAsiaTheme="majorEastAsia" w:hAnsiTheme="majorHAnsi" w:cstheme="majorBidi"/>
      <w:b/>
      <w:color w:val="554B87"/>
      <w:sz w:val="21"/>
      <w:szCs w:val="21"/>
    </w:rPr>
  </w:style>
  <w:style w:type="paragraph" w:styleId="Heading9">
    <w:name w:val="heading 9"/>
    <w:basedOn w:val="Normal"/>
    <w:next w:val="Normal"/>
    <w:link w:val="Heading9Char"/>
    <w:uiPriority w:val="9"/>
    <w:unhideWhenUsed/>
    <w:qFormat/>
    <w:rsid w:val="00242B78"/>
    <w:pPr>
      <w:keepNext/>
      <w:keepLines/>
      <w:spacing w:before="40" w:after="0"/>
      <w:outlineLvl w:val="8"/>
    </w:pPr>
    <w:rPr>
      <w:rFonts w:asciiTheme="majorHAnsi" w:eastAsiaTheme="majorEastAsia" w:hAnsiTheme="majorHAnsi" w:cstheme="majorBidi"/>
      <w:b/>
      <w:i/>
      <w:iCs/>
      <w:color w:val="554B87"/>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A98"/>
    <w:rPr>
      <w:rFonts w:asciiTheme="majorHAnsi" w:eastAsiaTheme="majorEastAsia" w:hAnsiTheme="majorHAnsi" w:cstheme="majorBidi"/>
      <w:b/>
      <w:sz w:val="48"/>
      <w:szCs w:val="32"/>
      <w:lang w:eastAsia="en-US"/>
    </w:rPr>
  </w:style>
  <w:style w:type="character" w:customStyle="1" w:styleId="Heading2Char">
    <w:name w:val="Heading 2 Char"/>
    <w:basedOn w:val="DefaultParagraphFont"/>
    <w:link w:val="Heading2"/>
    <w:uiPriority w:val="9"/>
    <w:rsid w:val="00242B78"/>
    <w:rPr>
      <w:rFonts w:asciiTheme="majorHAnsi" w:eastAsiaTheme="majorEastAsia" w:hAnsiTheme="majorHAnsi" w:cstheme="majorBidi"/>
      <w:b/>
      <w:color w:val="554B87"/>
      <w:sz w:val="36"/>
      <w:szCs w:val="26"/>
      <w:lang w:eastAsia="en-US"/>
    </w:rPr>
  </w:style>
  <w:style w:type="character" w:customStyle="1" w:styleId="Heading3Char">
    <w:name w:val="Heading 3 Char"/>
    <w:basedOn w:val="DefaultParagraphFont"/>
    <w:link w:val="Heading3"/>
    <w:uiPriority w:val="9"/>
    <w:rsid w:val="00242B78"/>
    <w:rPr>
      <w:rFonts w:asciiTheme="majorHAnsi" w:eastAsiaTheme="majorEastAsia" w:hAnsiTheme="majorHAnsi" w:cstheme="majorBidi"/>
      <w:b/>
      <w:color w:val="554B87"/>
      <w:sz w:val="30"/>
      <w:szCs w:val="24"/>
      <w:lang w:eastAsia="en-US"/>
    </w:rPr>
  </w:style>
  <w:style w:type="character" w:styleId="Hyperlink">
    <w:name w:val="Hyperlink"/>
    <w:basedOn w:val="DefaultParagraphFont"/>
    <w:uiPriority w:val="99"/>
    <w:unhideWhenUsed/>
    <w:rsid w:val="00F56262"/>
    <w:rPr>
      <w:b/>
      <w:color w:val="554B87"/>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467552"/>
    <w:pPr>
      <w:ind w:left="567"/>
    </w:pPr>
    <w:rPr>
      <w:rFonts w:eastAsiaTheme="minorHAnsi"/>
      <w:b/>
      <w:i/>
      <w:iCs/>
      <w:color w:val="554B87"/>
      <w:lang w:eastAsia="en-US"/>
    </w:rPr>
  </w:style>
  <w:style w:type="character" w:customStyle="1" w:styleId="QuoteChar">
    <w:name w:val="Quote Char"/>
    <w:basedOn w:val="DefaultParagraphFont"/>
    <w:link w:val="Quote"/>
    <w:uiPriority w:val="29"/>
    <w:rsid w:val="00467552"/>
    <w:rPr>
      <w:rFonts w:eastAsiaTheme="minorHAnsi"/>
      <w:b/>
      <w:i/>
      <w:iCs/>
      <w:color w:val="554B87"/>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242B78"/>
    <w:rPr>
      <w:rFonts w:asciiTheme="majorHAnsi" w:eastAsiaTheme="majorEastAsia" w:hAnsiTheme="majorHAnsi" w:cstheme="majorBidi"/>
      <w:b/>
      <w:bCs/>
      <w:color w:val="554B87"/>
      <w:sz w:val="24"/>
      <w:szCs w:val="24"/>
    </w:rPr>
  </w:style>
  <w:style w:type="character" w:customStyle="1" w:styleId="Heading5Char">
    <w:name w:val="Heading 5 Char"/>
    <w:basedOn w:val="DefaultParagraphFont"/>
    <w:link w:val="Heading5"/>
    <w:uiPriority w:val="9"/>
    <w:rsid w:val="00242B78"/>
    <w:rPr>
      <w:rFonts w:asciiTheme="majorHAnsi" w:eastAsiaTheme="majorEastAsia" w:hAnsiTheme="majorHAnsi" w:cstheme="majorBidi"/>
      <w:b/>
      <w:color w:val="554B87"/>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8B767F"/>
    <w:pPr>
      <w:keepNext/>
      <w:spacing w:after="0"/>
    </w:pPr>
    <w:rPr>
      <w:rFonts w:asciiTheme="majorHAnsi" w:eastAsiaTheme="minorHAnsi" w:hAnsiTheme="majorHAnsi"/>
      <w:b/>
      <w:color w:val="554B87"/>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242B78"/>
    <w:rPr>
      <w:rFonts w:asciiTheme="majorHAnsi" w:eastAsiaTheme="majorEastAsia" w:hAnsiTheme="majorHAnsi" w:cstheme="majorBidi"/>
      <w:b/>
      <w:i/>
      <w:iCs/>
      <w:color w:val="554B87"/>
    </w:rPr>
  </w:style>
  <w:style w:type="character" w:customStyle="1" w:styleId="Heading7Char">
    <w:name w:val="Heading 7 Char"/>
    <w:basedOn w:val="DefaultParagraphFont"/>
    <w:link w:val="Heading7"/>
    <w:uiPriority w:val="9"/>
    <w:rsid w:val="00242B78"/>
    <w:rPr>
      <w:rFonts w:asciiTheme="majorHAnsi" w:eastAsiaTheme="majorEastAsia" w:hAnsiTheme="majorHAnsi" w:cstheme="majorBidi"/>
      <w:b/>
      <w:i/>
      <w:iCs/>
      <w:color w:val="554B87"/>
    </w:rPr>
  </w:style>
  <w:style w:type="character" w:customStyle="1" w:styleId="Heading8Char">
    <w:name w:val="Heading 8 Char"/>
    <w:basedOn w:val="DefaultParagraphFont"/>
    <w:link w:val="Heading8"/>
    <w:uiPriority w:val="9"/>
    <w:rsid w:val="00242B78"/>
    <w:rPr>
      <w:rFonts w:asciiTheme="majorHAnsi" w:eastAsiaTheme="majorEastAsia" w:hAnsiTheme="majorHAnsi" w:cstheme="majorBidi"/>
      <w:b/>
      <w:color w:val="554B87"/>
      <w:sz w:val="21"/>
      <w:szCs w:val="21"/>
    </w:rPr>
  </w:style>
  <w:style w:type="character" w:customStyle="1" w:styleId="Heading9Char">
    <w:name w:val="Heading 9 Char"/>
    <w:basedOn w:val="DefaultParagraphFont"/>
    <w:link w:val="Heading9"/>
    <w:uiPriority w:val="9"/>
    <w:rsid w:val="00242B78"/>
    <w:rPr>
      <w:rFonts w:asciiTheme="majorHAnsi" w:eastAsiaTheme="majorEastAsia" w:hAnsiTheme="majorHAnsi" w:cstheme="majorBidi"/>
      <w:b/>
      <w:i/>
      <w:iCs/>
      <w:color w:val="554B87"/>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1">
    <w:name w:val="Unresolved Mention1"/>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03AE2"/>
    <w:pPr>
      <w:spacing w:after="120"/>
    </w:pPr>
    <w:rPr>
      <w:sz w:val="32"/>
    </w:rPr>
  </w:style>
  <w:style w:type="paragraph" w:customStyle="1" w:styleId="Heading3-notshowing">
    <w:name w:val="Heading 3 - not showing"/>
    <w:basedOn w:val="Heading3"/>
    <w:qFormat/>
    <w:rsid w:val="00D03AE2"/>
    <w:rPr>
      <w:sz w:val="28"/>
    </w:rPr>
  </w:style>
  <w:style w:type="paragraph" w:styleId="TOC1">
    <w:name w:val="toc 1"/>
    <w:basedOn w:val="Normal"/>
    <w:next w:val="Normal"/>
    <w:autoRedefine/>
    <w:uiPriority w:val="39"/>
    <w:unhideWhenUsed/>
    <w:rsid w:val="004755A2"/>
    <w:pPr>
      <w:tabs>
        <w:tab w:val="right" w:leader="dot" w:pos="9072"/>
      </w:tabs>
      <w:spacing w:before="120" w:after="0"/>
    </w:pPr>
    <w:rPr>
      <w:b/>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styleId="BalloonText">
    <w:name w:val="Balloon Text"/>
    <w:basedOn w:val="Normal"/>
    <w:link w:val="BalloonTextChar"/>
    <w:uiPriority w:val="99"/>
    <w:semiHidden/>
    <w:unhideWhenUsed/>
    <w:rsid w:val="0093728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283"/>
    <w:rPr>
      <w:rFonts w:ascii="Tahoma" w:hAnsi="Tahoma" w:cs="Tahoma"/>
      <w:sz w:val="16"/>
      <w:szCs w:val="16"/>
    </w:rPr>
  </w:style>
  <w:style w:type="character" w:styleId="CommentReference">
    <w:name w:val="annotation reference"/>
    <w:basedOn w:val="DefaultParagraphFont"/>
    <w:uiPriority w:val="99"/>
    <w:semiHidden/>
    <w:unhideWhenUsed/>
    <w:rsid w:val="00DB7C2A"/>
    <w:rPr>
      <w:sz w:val="16"/>
      <w:szCs w:val="16"/>
    </w:rPr>
  </w:style>
  <w:style w:type="paragraph" w:styleId="CommentText">
    <w:name w:val="annotation text"/>
    <w:basedOn w:val="Normal"/>
    <w:link w:val="CommentTextChar"/>
    <w:uiPriority w:val="99"/>
    <w:unhideWhenUsed/>
    <w:rsid w:val="00DB7C2A"/>
    <w:rPr>
      <w:sz w:val="20"/>
      <w:szCs w:val="20"/>
    </w:rPr>
  </w:style>
  <w:style w:type="character" w:customStyle="1" w:styleId="CommentTextChar">
    <w:name w:val="Comment Text Char"/>
    <w:basedOn w:val="DefaultParagraphFont"/>
    <w:link w:val="CommentText"/>
    <w:uiPriority w:val="99"/>
    <w:rsid w:val="00DB7C2A"/>
    <w:rPr>
      <w:sz w:val="20"/>
      <w:szCs w:val="20"/>
    </w:rPr>
  </w:style>
  <w:style w:type="paragraph" w:styleId="CommentSubject">
    <w:name w:val="annotation subject"/>
    <w:basedOn w:val="CommentText"/>
    <w:next w:val="CommentText"/>
    <w:link w:val="CommentSubjectChar"/>
    <w:uiPriority w:val="99"/>
    <w:semiHidden/>
    <w:unhideWhenUsed/>
    <w:rsid w:val="00DB7C2A"/>
    <w:rPr>
      <w:b/>
      <w:bCs/>
    </w:rPr>
  </w:style>
  <w:style w:type="character" w:customStyle="1" w:styleId="CommentSubjectChar">
    <w:name w:val="Comment Subject Char"/>
    <w:basedOn w:val="CommentTextChar"/>
    <w:link w:val="CommentSubject"/>
    <w:uiPriority w:val="99"/>
    <w:semiHidden/>
    <w:rsid w:val="00DB7C2A"/>
    <w:rPr>
      <w:b/>
      <w:bCs/>
      <w:sz w:val="20"/>
      <w:szCs w:val="20"/>
    </w:rPr>
  </w:style>
  <w:style w:type="paragraph" w:styleId="Revision">
    <w:name w:val="Revision"/>
    <w:hidden/>
    <w:uiPriority w:val="99"/>
    <w:semiHidden/>
    <w:rsid w:val="00CB28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734609">
      <w:bodyDiv w:val="1"/>
      <w:marLeft w:val="0"/>
      <w:marRight w:val="0"/>
      <w:marTop w:val="0"/>
      <w:marBottom w:val="0"/>
      <w:divBdr>
        <w:top w:val="none" w:sz="0" w:space="0" w:color="auto"/>
        <w:left w:val="none" w:sz="0" w:space="0" w:color="auto"/>
        <w:bottom w:val="none" w:sz="0" w:space="0" w:color="auto"/>
        <w:right w:val="none" w:sz="0" w:space="0" w:color="auto"/>
      </w:divBdr>
    </w:div>
    <w:div w:id="1155297785">
      <w:bodyDiv w:val="1"/>
      <w:marLeft w:val="0"/>
      <w:marRight w:val="0"/>
      <w:marTop w:val="0"/>
      <w:marBottom w:val="0"/>
      <w:divBdr>
        <w:top w:val="none" w:sz="0" w:space="0" w:color="auto"/>
        <w:left w:val="none" w:sz="0" w:space="0" w:color="auto"/>
        <w:bottom w:val="none" w:sz="0" w:space="0" w:color="auto"/>
        <w:right w:val="none" w:sz="0" w:space="0" w:color="auto"/>
      </w:divBdr>
    </w:div>
    <w:div w:id="163259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png@01D8701A.460DF4D0"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adminsrvad.sa.gov.au\DfsRoot\DataDPC\ArtsSA\ABS\Cultural%20Funding%20Collections\2023-24\Publication\Working\1%20-%20NSW\NSW-analysis-23-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adminsrvad.sa.gov.au\DfsRoot\DataDPC\ArtsSA\ABS\Cultural%20Funding%20Collections\2023-24\Publication\Working\1%20-%20NSW\NSW-analysis-23-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adminsrvad.sa.gov.au\DfsRoot\DataDPC\ArtsSA\ABS\Cultural%20Funding%20Collections\2023-24\Publication\Working\1%20-%20NSW\NSW-analysis-23-24.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488582131117108E-2"/>
          <c:y val="0.11547344110854503"/>
          <c:w val="0.90299824172463883"/>
          <c:h val="0.7272128166427233"/>
        </c:manualLayout>
      </c:layout>
      <c:barChart>
        <c:barDir val="col"/>
        <c:grouping val="clustered"/>
        <c:varyColors val="0"/>
        <c:ser>
          <c:idx val="0"/>
          <c:order val="0"/>
          <c:tx>
            <c:strRef>
              <c:f>Working!$B$39</c:f>
              <c:strCache>
                <c:ptCount val="1"/>
                <c:pt idx="0">
                  <c:v>2020-21</c:v>
                </c:pt>
              </c:strCache>
            </c:strRef>
          </c:tx>
          <c:spPr>
            <a:solidFill>
              <a:srgbClr val="646464"/>
            </a:solidFill>
            <a:ln>
              <a:noFill/>
            </a:ln>
            <a:effectLst/>
          </c:spPr>
          <c:invertIfNegative val="0"/>
          <c:cat>
            <c:strRef>
              <c:f>Working!$A$40:$A$43</c:f>
              <c:strCache>
                <c:ptCount val="4"/>
                <c:pt idx="0">
                  <c:v>Art museums</c:v>
                </c:pt>
                <c:pt idx="1">
                  <c:v>Other museums &amp; cultural heritage</c:v>
                </c:pt>
                <c:pt idx="2">
                  <c:v>Libraries</c:v>
                </c:pt>
                <c:pt idx="3">
                  <c:v>Archives</c:v>
                </c:pt>
              </c:strCache>
            </c:strRef>
          </c:cat>
          <c:val>
            <c:numRef>
              <c:f>Working!$B$40:$B$43</c:f>
              <c:numCache>
                <c:formatCode>#,##0.0</c:formatCode>
                <c:ptCount val="4"/>
                <c:pt idx="0">
                  <c:v>177</c:v>
                </c:pt>
                <c:pt idx="1">
                  <c:v>157.4</c:v>
                </c:pt>
                <c:pt idx="2">
                  <c:v>113.9</c:v>
                </c:pt>
                <c:pt idx="3">
                  <c:v>14.2</c:v>
                </c:pt>
              </c:numCache>
            </c:numRef>
          </c:val>
          <c:extLst>
            <c:ext xmlns:c16="http://schemas.microsoft.com/office/drawing/2014/chart" uri="{C3380CC4-5D6E-409C-BE32-E72D297353CC}">
              <c16:uniqueId val="{00000000-27CC-4B2E-B3CC-43D55B366CD2}"/>
            </c:ext>
          </c:extLst>
        </c:ser>
        <c:ser>
          <c:idx val="1"/>
          <c:order val="1"/>
          <c:tx>
            <c:strRef>
              <c:f>Working!$C$39</c:f>
              <c:strCache>
                <c:ptCount val="1"/>
                <c:pt idx="0">
                  <c:v>2021-22</c:v>
                </c:pt>
              </c:strCache>
            </c:strRef>
          </c:tx>
          <c:spPr>
            <a:solidFill>
              <a:srgbClr val="0F293A"/>
            </a:solidFill>
            <a:ln>
              <a:noFill/>
            </a:ln>
            <a:effectLst/>
          </c:spPr>
          <c:invertIfNegative val="0"/>
          <c:cat>
            <c:strRef>
              <c:f>Working!$A$40:$A$43</c:f>
              <c:strCache>
                <c:ptCount val="4"/>
                <c:pt idx="0">
                  <c:v>Art museums</c:v>
                </c:pt>
                <c:pt idx="1">
                  <c:v>Other museums &amp; cultural heritage</c:v>
                </c:pt>
                <c:pt idx="2">
                  <c:v>Libraries</c:v>
                </c:pt>
                <c:pt idx="3">
                  <c:v>Archives</c:v>
                </c:pt>
              </c:strCache>
            </c:strRef>
          </c:cat>
          <c:val>
            <c:numRef>
              <c:f>Working!$C$40:$C$43</c:f>
              <c:numCache>
                <c:formatCode>#,##0.0</c:formatCode>
                <c:ptCount val="4"/>
                <c:pt idx="0">
                  <c:v>218.9</c:v>
                </c:pt>
                <c:pt idx="1">
                  <c:v>220.4</c:v>
                </c:pt>
                <c:pt idx="2">
                  <c:v>128.4</c:v>
                </c:pt>
                <c:pt idx="3">
                  <c:v>14</c:v>
                </c:pt>
              </c:numCache>
            </c:numRef>
          </c:val>
          <c:extLst>
            <c:ext xmlns:c16="http://schemas.microsoft.com/office/drawing/2014/chart" uri="{C3380CC4-5D6E-409C-BE32-E72D297353CC}">
              <c16:uniqueId val="{00000001-27CC-4B2E-B3CC-43D55B366CD2}"/>
            </c:ext>
          </c:extLst>
        </c:ser>
        <c:ser>
          <c:idx val="2"/>
          <c:order val="2"/>
          <c:tx>
            <c:strRef>
              <c:f>Working!$D$39</c:f>
              <c:strCache>
                <c:ptCount val="1"/>
                <c:pt idx="0">
                  <c:v>2023-24</c:v>
                </c:pt>
              </c:strCache>
            </c:strRef>
          </c:tx>
          <c:spPr>
            <a:solidFill>
              <a:srgbClr val="513AC4"/>
            </a:solidFill>
            <a:ln>
              <a:noFill/>
            </a:ln>
            <a:effectLst/>
          </c:spPr>
          <c:invertIfNegative val="0"/>
          <c:cat>
            <c:strRef>
              <c:f>Working!$A$40:$A$43</c:f>
              <c:strCache>
                <c:ptCount val="4"/>
                <c:pt idx="0">
                  <c:v>Art museums</c:v>
                </c:pt>
                <c:pt idx="1">
                  <c:v>Other museums &amp; cultural heritage</c:v>
                </c:pt>
                <c:pt idx="2">
                  <c:v>Libraries</c:v>
                </c:pt>
                <c:pt idx="3">
                  <c:v>Archives</c:v>
                </c:pt>
              </c:strCache>
            </c:strRef>
          </c:cat>
          <c:val>
            <c:numRef>
              <c:f>Working!$D$40:$D$43</c:f>
              <c:numCache>
                <c:formatCode>#,##0.0</c:formatCode>
                <c:ptCount val="4"/>
                <c:pt idx="0">
                  <c:v>91.731999999999999</c:v>
                </c:pt>
                <c:pt idx="1">
                  <c:v>418.21800000000002</c:v>
                </c:pt>
                <c:pt idx="2">
                  <c:v>125.648</c:v>
                </c:pt>
                <c:pt idx="3">
                  <c:v>19.292999999999999</c:v>
                </c:pt>
              </c:numCache>
            </c:numRef>
          </c:val>
          <c:extLst>
            <c:ext xmlns:c16="http://schemas.microsoft.com/office/drawing/2014/chart" uri="{C3380CC4-5D6E-409C-BE32-E72D297353CC}">
              <c16:uniqueId val="{00000002-27CC-4B2E-B3CC-43D55B366CD2}"/>
            </c:ext>
          </c:extLst>
        </c:ser>
        <c:dLbls>
          <c:showLegendKey val="0"/>
          <c:showVal val="0"/>
          <c:showCatName val="0"/>
          <c:showSerName val="0"/>
          <c:showPercent val="0"/>
          <c:showBubbleSize val="0"/>
        </c:dLbls>
        <c:gapWidth val="100"/>
        <c:overlap val="-10"/>
        <c:axId val="999115784"/>
        <c:axId val="999117224"/>
      </c:barChart>
      <c:catAx>
        <c:axId val="999115784"/>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999117224"/>
        <c:crosses val="autoZero"/>
        <c:auto val="1"/>
        <c:lblAlgn val="ctr"/>
        <c:lblOffset val="100"/>
        <c:noMultiLvlLbl val="0"/>
      </c:catAx>
      <c:valAx>
        <c:axId val="999117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800" b="0" i="0" u="none" strike="noStrike" kern="1200" baseline="0">
                    <a:solidFill>
                      <a:schemeClr val="tx1"/>
                    </a:solidFill>
                    <a:latin typeface="+mn-lt"/>
                    <a:ea typeface="+mn-ea"/>
                    <a:cs typeface="+mn-cs"/>
                  </a:defRPr>
                </a:pPr>
                <a:r>
                  <a:rPr lang="en-AU" sz="800">
                    <a:solidFill>
                      <a:schemeClr val="tx1"/>
                    </a:solidFill>
                  </a:rPr>
                  <a:t> $m</a:t>
                </a:r>
              </a:p>
            </c:rich>
          </c:tx>
          <c:layout>
            <c:manualLayout>
              <c:xMode val="edge"/>
              <c:yMode val="edge"/>
              <c:x val="5.0457253965264749E-3"/>
              <c:y val="7.2091796839482821E-3"/>
            </c:manualLayout>
          </c:layout>
          <c:overlay val="0"/>
          <c:spPr>
            <a:noFill/>
            <a:ln>
              <a:noFill/>
            </a:ln>
            <a:effectLst/>
          </c:spPr>
          <c:txPr>
            <a:bodyPr rot="0" spcFirstLastPara="1" vertOverflow="ellipsis" wrap="square" anchor="ctr" anchorCtr="1"/>
            <a:lstStyle/>
            <a:p>
              <a:pPr>
                <a:defRPr sz="800" b="0" i="0" u="none" strike="noStrike" kern="1200" baseline="0">
                  <a:solidFill>
                    <a:schemeClr val="tx1"/>
                  </a:solidFill>
                  <a:latin typeface="+mn-lt"/>
                  <a:ea typeface="+mn-ea"/>
                  <a:cs typeface="+mn-cs"/>
                </a:defRPr>
              </a:pPr>
              <a:endParaRPr lang="en-US"/>
            </a:p>
          </c:txPr>
        </c:title>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999115784"/>
        <c:crosses val="autoZero"/>
        <c:crossBetween val="between"/>
      </c:valAx>
      <c:spPr>
        <a:noFill/>
        <a:ln>
          <a:noFill/>
        </a:ln>
        <a:effectLst/>
      </c:spPr>
    </c:plotArea>
    <c:legend>
      <c:legendPos val="b"/>
      <c:layout>
        <c:manualLayout>
          <c:xMode val="edge"/>
          <c:yMode val="edge"/>
          <c:x val="0.81885647129329842"/>
          <c:y val="6.4013295915865187E-2"/>
          <c:w val="0.13606386099052872"/>
          <c:h val="0.17472495499263518"/>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025349578993261E-2"/>
          <c:y val="0.12009237875288684"/>
          <c:w val="0.92555791585363212"/>
          <c:h val="0.68571148006037341"/>
        </c:manualLayout>
      </c:layout>
      <c:barChart>
        <c:barDir val="col"/>
        <c:grouping val="clustered"/>
        <c:varyColors val="0"/>
        <c:ser>
          <c:idx val="0"/>
          <c:order val="0"/>
          <c:tx>
            <c:strRef>
              <c:f>Working!$B$48</c:f>
              <c:strCache>
                <c:ptCount val="1"/>
                <c:pt idx="0">
                  <c:v>2020-21</c:v>
                </c:pt>
              </c:strCache>
            </c:strRef>
          </c:tx>
          <c:spPr>
            <a:solidFill>
              <a:srgbClr val="646464"/>
            </a:solidFill>
            <a:ln>
              <a:noFill/>
            </a:ln>
            <a:effectLst/>
          </c:spPr>
          <c:invertIfNegative val="0"/>
          <c:cat>
            <c:strRef>
              <c:f>Working!$A$49:$A$53</c:f>
              <c:strCache>
                <c:ptCount val="5"/>
                <c:pt idx="0">
                  <c:v>Music </c:v>
                </c:pt>
                <c:pt idx="1">
                  <c:v>Performing arts venues</c:v>
                </c:pt>
                <c:pt idx="2">
                  <c:v>Visual arts &amp; crafts</c:v>
                </c:pt>
                <c:pt idx="3">
                  <c:v>Film &amp; video production &amp; distribution</c:v>
                </c:pt>
                <c:pt idx="4">
                  <c:v>Arts administration</c:v>
                </c:pt>
              </c:strCache>
            </c:strRef>
          </c:cat>
          <c:val>
            <c:numRef>
              <c:f>Working!$B$49:$B$53</c:f>
              <c:numCache>
                <c:formatCode>#,##0.0</c:formatCode>
                <c:ptCount val="5"/>
                <c:pt idx="0">
                  <c:v>20.5</c:v>
                </c:pt>
                <c:pt idx="1">
                  <c:v>190.8</c:v>
                </c:pt>
                <c:pt idx="2">
                  <c:v>21.5</c:v>
                </c:pt>
                <c:pt idx="3">
                  <c:v>49.5</c:v>
                </c:pt>
                <c:pt idx="4">
                  <c:v>24.5</c:v>
                </c:pt>
              </c:numCache>
            </c:numRef>
          </c:val>
          <c:extLst>
            <c:ext xmlns:c16="http://schemas.microsoft.com/office/drawing/2014/chart" uri="{C3380CC4-5D6E-409C-BE32-E72D297353CC}">
              <c16:uniqueId val="{00000000-E87D-488B-A800-F27FEFA57E73}"/>
            </c:ext>
          </c:extLst>
        </c:ser>
        <c:ser>
          <c:idx val="1"/>
          <c:order val="1"/>
          <c:tx>
            <c:strRef>
              <c:f>Working!$C$48</c:f>
              <c:strCache>
                <c:ptCount val="1"/>
                <c:pt idx="0">
                  <c:v>2021-22</c:v>
                </c:pt>
              </c:strCache>
            </c:strRef>
          </c:tx>
          <c:spPr>
            <a:solidFill>
              <a:srgbClr val="0F293A"/>
            </a:solidFill>
            <a:ln>
              <a:noFill/>
            </a:ln>
            <a:effectLst/>
          </c:spPr>
          <c:invertIfNegative val="0"/>
          <c:cat>
            <c:strRef>
              <c:f>Working!$A$49:$A$53</c:f>
              <c:strCache>
                <c:ptCount val="5"/>
                <c:pt idx="0">
                  <c:v>Music </c:v>
                </c:pt>
                <c:pt idx="1">
                  <c:v>Performing arts venues</c:v>
                </c:pt>
                <c:pt idx="2">
                  <c:v>Visual arts &amp; crafts</c:v>
                </c:pt>
                <c:pt idx="3">
                  <c:v>Film &amp; video production &amp; distribution</c:v>
                </c:pt>
                <c:pt idx="4">
                  <c:v>Arts administration</c:v>
                </c:pt>
              </c:strCache>
            </c:strRef>
          </c:cat>
          <c:val>
            <c:numRef>
              <c:f>Working!$C$49:$C$53</c:f>
              <c:numCache>
                <c:formatCode>#,##0.0</c:formatCode>
                <c:ptCount val="5"/>
                <c:pt idx="0">
                  <c:v>118.1</c:v>
                </c:pt>
                <c:pt idx="1">
                  <c:v>78.2</c:v>
                </c:pt>
                <c:pt idx="2">
                  <c:v>26.7</c:v>
                </c:pt>
                <c:pt idx="3">
                  <c:v>66.400000000000006</c:v>
                </c:pt>
                <c:pt idx="4">
                  <c:v>29</c:v>
                </c:pt>
              </c:numCache>
            </c:numRef>
          </c:val>
          <c:extLst>
            <c:ext xmlns:c16="http://schemas.microsoft.com/office/drawing/2014/chart" uri="{C3380CC4-5D6E-409C-BE32-E72D297353CC}">
              <c16:uniqueId val="{00000001-E87D-488B-A800-F27FEFA57E73}"/>
            </c:ext>
          </c:extLst>
        </c:ser>
        <c:ser>
          <c:idx val="2"/>
          <c:order val="2"/>
          <c:tx>
            <c:strRef>
              <c:f>Working!$D$48</c:f>
              <c:strCache>
                <c:ptCount val="1"/>
                <c:pt idx="0">
                  <c:v>2023-24</c:v>
                </c:pt>
              </c:strCache>
            </c:strRef>
          </c:tx>
          <c:spPr>
            <a:solidFill>
              <a:srgbClr val="513AC4"/>
            </a:solidFill>
            <a:ln>
              <a:noFill/>
            </a:ln>
            <a:effectLst/>
          </c:spPr>
          <c:invertIfNegative val="0"/>
          <c:cat>
            <c:strRef>
              <c:f>Working!$A$49:$A$53</c:f>
              <c:strCache>
                <c:ptCount val="5"/>
                <c:pt idx="0">
                  <c:v>Music </c:v>
                </c:pt>
                <c:pt idx="1">
                  <c:v>Performing arts venues</c:v>
                </c:pt>
                <c:pt idx="2">
                  <c:v>Visual arts &amp; crafts</c:v>
                </c:pt>
                <c:pt idx="3">
                  <c:v>Film &amp; video production &amp; distribution</c:v>
                </c:pt>
                <c:pt idx="4">
                  <c:v>Arts administration</c:v>
                </c:pt>
              </c:strCache>
            </c:strRef>
          </c:cat>
          <c:val>
            <c:numRef>
              <c:f>Working!$D$49:$D$53</c:f>
              <c:numCache>
                <c:formatCode>#,##0.0</c:formatCode>
                <c:ptCount val="5"/>
                <c:pt idx="0">
                  <c:v>31.56</c:v>
                </c:pt>
                <c:pt idx="1">
                  <c:v>83.128</c:v>
                </c:pt>
                <c:pt idx="2">
                  <c:v>33.896000000000001</c:v>
                </c:pt>
                <c:pt idx="3">
                  <c:v>59.35</c:v>
                </c:pt>
                <c:pt idx="4">
                  <c:v>50.378999999999998</c:v>
                </c:pt>
              </c:numCache>
            </c:numRef>
          </c:val>
          <c:extLst>
            <c:ext xmlns:c16="http://schemas.microsoft.com/office/drawing/2014/chart" uri="{C3380CC4-5D6E-409C-BE32-E72D297353CC}">
              <c16:uniqueId val="{00000002-E87D-488B-A800-F27FEFA57E73}"/>
            </c:ext>
          </c:extLst>
        </c:ser>
        <c:dLbls>
          <c:showLegendKey val="0"/>
          <c:showVal val="0"/>
          <c:showCatName val="0"/>
          <c:showSerName val="0"/>
          <c:showPercent val="0"/>
          <c:showBubbleSize val="0"/>
        </c:dLbls>
        <c:gapWidth val="100"/>
        <c:overlap val="-10"/>
        <c:axId val="1029324664"/>
        <c:axId val="1029330424"/>
      </c:barChart>
      <c:catAx>
        <c:axId val="1029324664"/>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1029330424"/>
        <c:crosses val="autoZero"/>
        <c:auto val="1"/>
        <c:lblAlgn val="ctr"/>
        <c:lblOffset val="100"/>
        <c:noMultiLvlLbl val="0"/>
      </c:catAx>
      <c:valAx>
        <c:axId val="1029330424"/>
        <c:scaling>
          <c:orientation val="minMax"/>
          <c:max val="20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800" b="0" i="0" u="none" strike="noStrike" kern="1200" baseline="0">
                    <a:solidFill>
                      <a:sysClr val="windowText" lastClr="000000"/>
                    </a:solidFill>
                    <a:latin typeface="+mn-lt"/>
                    <a:ea typeface="+mn-ea"/>
                    <a:cs typeface="+mn-cs"/>
                  </a:defRPr>
                </a:pPr>
                <a:r>
                  <a:rPr lang="en-AU" sz="800">
                    <a:solidFill>
                      <a:sysClr val="windowText" lastClr="000000"/>
                    </a:solidFill>
                  </a:rPr>
                  <a:t>$m</a:t>
                </a:r>
              </a:p>
            </c:rich>
          </c:tx>
          <c:layout>
            <c:manualLayout>
              <c:xMode val="edge"/>
              <c:yMode val="edge"/>
              <c:x val="6.3863821547385192E-3"/>
              <c:y val="1.6747104071575328E-2"/>
            </c:manualLayout>
          </c:layout>
          <c:overlay val="0"/>
          <c:spPr>
            <a:noFill/>
            <a:ln>
              <a:noFill/>
            </a:ln>
            <a:effectLst/>
          </c:spPr>
          <c:txPr>
            <a:bodyPr rot="0" spcFirstLastPara="1" vertOverflow="ellipsis" wrap="square" anchor="ctr" anchorCtr="1"/>
            <a:lstStyle/>
            <a:p>
              <a:pPr>
                <a:defRPr sz="8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1029324664"/>
        <c:crosses val="autoZero"/>
        <c:crossBetween val="between"/>
        <c:majorUnit val="50"/>
      </c:valAx>
      <c:spPr>
        <a:noFill/>
        <a:ln>
          <a:noFill/>
        </a:ln>
        <a:effectLst/>
      </c:spPr>
    </c:plotArea>
    <c:legend>
      <c:legendPos val="b"/>
      <c:layout>
        <c:manualLayout>
          <c:xMode val="edge"/>
          <c:yMode val="edge"/>
          <c:x val="0.82144178360087694"/>
          <c:y val="5.369460457165718E-2"/>
          <c:w val="0.12986850590002813"/>
          <c:h val="0.19803749704497101"/>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177999409922595"/>
          <c:y val="5.0808314087759814E-2"/>
          <c:w val="0.67009850750894051"/>
          <c:h val="0.84738324127394538"/>
        </c:manualLayout>
      </c:layout>
      <c:barChart>
        <c:barDir val="bar"/>
        <c:grouping val="clustered"/>
        <c:varyColors val="0"/>
        <c:ser>
          <c:idx val="0"/>
          <c:order val="0"/>
          <c:tx>
            <c:strRef>
              <c:f>Working!$B$60</c:f>
              <c:strCache>
                <c:ptCount val="1"/>
                <c:pt idx="0">
                  <c:v>2023-24</c:v>
                </c:pt>
              </c:strCache>
            </c:strRef>
          </c:tx>
          <c:spPr>
            <a:solidFill>
              <a:srgbClr val="513AC4"/>
            </a:solidFill>
            <a:ln>
              <a:noFill/>
            </a:ln>
            <a:effectLst/>
          </c:spPr>
          <c:invertIfNegative val="0"/>
          <c:cat>
            <c:strRef>
              <c:f>Working!$A$61:$A$66</c:f>
              <c:strCache>
                <c:ptCount val="6"/>
                <c:pt idx="0">
                  <c:v>Arts administration</c:v>
                </c:pt>
                <c:pt idx="1">
                  <c:v>Film &amp; video production &amp; distribution</c:v>
                </c:pt>
                <c:pt idx="2">
                  <c:v>Performing arts venues</c:v>
                </c:pt>
                <c:pt idx="3">
                  <c:v>Libraries</c:v>
                </c:pt>
                <c:pt idx="4">
                  <c:v>Other museums &amp; cultural heritage</c:v>
                </c:pt>
                <c:pt idx="5">
                  <c:v>Art museums</c:v>
                </c:pt>
              </c:strCache>
            </c:strRef>
          </c:cat>
          <c:val>
            <c:numRef>
              <c:f>Working!$B$61:$B$66</c:f>
              <c:numCache>
                <c:formatCode>#,##0.0</c:formatCode>
                <c:ptCount val="6"/>
                <c:pt idx="0">
                  <c:v>49.173999999999999</c:v>
                </c:pt>
                <c:pt idx="1">
                  <c:v>58.262</c:v>
                </c:pt>
                <c:pt idx="2">
                  <c:v>66.685000000000002</c:v>
                </c:pt>
                <c:pt idx="3">
                  <c:v>112.458</c:v>
                </c:pt>
                <c:pt idx="4">
                  <c:v>121.504</c:v>
                </c:pt>
                <c:pt idx="5">
                  <c:v>69.474999999999994</c:v>
                </c:pt>
              </c:numCache>
            </c:numRef>
          </c:val>
          <c:extLst>
            <c:ext xmlns:c16="http://schemas.microsoft.com/office/drawing/2014/chart" uri="{C3380CC4-5D6E-409C-BE32-E72D297353CC}">
              <c16:uniqueId val="{00000000-23EF-4CB6-8EC5-684DD74DF312}"/>
            </c:ext>
          </c:extLst>
        </c:ser>
        <c:ser>
          <c:idx val="1"/>
          <c:order val="1"/>
          <c:tx>
            <c:strRef>
              <c:f>Working!$C$60</c:f>
              <c:strCache>
                <c:ptCount val="1"/>
                <c:pt idx="0">
                  <c:v>2021-22</c:v>
                </c:pt>
              </c:strCache>
            </c:strRef>
          </c:tx>
          <c:spPr>
            <a:solidFill>
              <a:srgbClr val="0F293A"/>
            </a:solidFill>
            <a:ln>
              <a:noFill/>
            </a:ln>
            <a:effectLst/>
          </c:spPr>
          <c:invertIfNegative val="0"/>
          <c:cat>
            <c:strRef>
              <c:f>Working!$A$61:$A$66</c:f>
              <c:strCache>
                <c:ptCount val="6"/>
                <c:pt idx="0">
                  <c:v>Arts administration</c:v>
                </c:pt>
                <c:pt idx="1">
                  <c:v>Film &amp; video production &amp; distribution</c:v>
                </c:pt>
                <c:pt idx="2">
                  <c:v>Performing arts venues</c:v>
                </c:pt>
                <c:pt idx="3">
                  <c:v>Libraries</c:v>
                </c:pt>
                <c:pt idx="4">
                  <c:v>Other museums &amp; cultural heritage</c:v>
                </c:pt>
                <c:pt idx="5">
                  <c:v>Art museums</c:v>
                </c:pt>
              </c:strCache>
            </c:strRef>
          </c:cat>
          <c:val>
            <c:numRef>
              <c:f>Working!$C$61:$C$66</c:f>
              <c:numCache>
                <c:formatCode>#,##0.0</c:formatCode>
                <c:ptCount val="6"/>
                <c:pt idx="0">
                  <c:v>17.5</c:v>
                </c:pt>
                <c:pt idx="1">
                  <c:v>66.400000000000006</c:v>
                </c:pt>
                <c:pt idx="2">
                  <c:v>33.4</c:v>
                </c:pt>
                <c:pt idx="3">
                  <c:v>92.8</c:v>
                </c:pt>
                <c:pt idx="4">
                  <c:v>152.1</c:v>
                </c:pt>
                <c:pt idx="5">
                  <c:v>53</c:v>
                </c:pt>
              </c:numCache>
            </c:numRef>
          </c:val>
          <c:extLst>
            <c:ext xmlns:c16="http://schemas.microsoft.com/office/drawing/2014/chart" uri="{C3380CC4-5D6E-409C-BE32-E72D297353CC}">
              <c16:uniqueId val="{00000001-23EF-4CB6-8EC5-684DD74DF312}"/>
            </c:ext>
          </c:extLst>
        </c:ser>
        <c:ser>
          <c:idx val="2"/>
          <c:order val="2"/>
          <c:tx>
            <c:strRef>
              <c:f>Working!$D$60</c:f>
              <c:strCache>
                <c:ptCount val="1"/>
                <c:pt idx="0">
                  <c:v>2020-21</c:v>
                </c:pt>
              </c:strCache>
            </c:strRef>
          </c:tx>
          <c:spPr>
            <a:solidFill>
              <a:srgbClr val="646464"/>
            </a:solidFill>
            <a:ln>
              <a:noFill/>
            </a:ln>
            <a:effectLst/>
          </c:spPr>
          <c:invertIfNegative val="0"/>
          <c:cat>
            <c:strRef>
              <c:f>Working!$A$61:$A$66</c:f>
              <c:strCache>
                <c:ptCount val="6"/>
                <c:pt idx="0">
                  <c:v>Arts administration</c:v>
                </c:pt>
                <c:pt idx="1">
                  <c:v>Film &amp; video production &amp; distribution</c:v>
                </c:pt>
                <c:pt idx="2">
                  <c:v>Performing arts venues</c:v>
                </c:pt>
                <c:pt idx="3">
                  <c:v>Libraries</c:v>
                </c:pt>
                <c:pt idx="4">
                  <c:v>Other museums &amp; cultural heritage</c:v>
                </c:pt>
                <c:pt idx="5">
                  <c:v>Art museums</c:v>
                </c:pt>
              </c:strCache>
            </c:strRef>
          </c:cat>
          <c:val>
            <c:numRef>
              <c:f>Working!$D$61:$D$66</c:f>
              <c:numCache>
                <c:formatCode>#,##0.0</c:formatCode>
                <c:ptCount val="6"/>
                <c:pt idx="0">
                  <c:v>16</c:v>
                </c:pt>
                <c:pt idx="1">
                  <c:v>49.2</c:v>
                </c:pt>
                <c:pt idx="2">
                  <c:v>77.8</c:v>
                </c:pt>
                <c:pt idx="3">
                  <c:v>93.7</c:v>
                </c:pt>
                <c:pt idx="4">
                  <c:v>132.5</c:v>
                </c:pt>
                <c:pt idx="5">
                  <c:v>56.3</c:v>
                </c:pt>
              </c:numCache>
            </c:numRef>
          </c:val>
          <c:extLst>
            <c:ext xmlns:c16="http://schemas.microsoft.com/office/drawing/2014/chart" uri="{C3380CC4-5D6E-409C-BE32-E72D297353CC}">
              <c16:uniqueId val="{00000002-23EF-4CB6-8EC5-684DD74DF312}"/>
            </c:ext>
          </c:extLst>
        </c:ser>
        <c:dLbls>
          <c:showLegendKey val="0"/>
          <c:showVal val="0"/>
          <c:showCatName val="0"/>
          <c:showSerName val="0"/>
          <c:showPercent val="0"/>
          <c:showBubbleSize val="0"/>
        </c:dLbls>
        <c:gapWidth val="100"/>
        <c:overlap val="-10"/>
        <c:axId val="989175784"/>
        <c:axId val="989176144"/>
      </c:barChart>
      <c:catAx>
        <c:axId val="989175784"/>
        <c:scaling>
          <c:orientation val="minMax"/>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0"/>
          <a:lstStyle/>
          <a:p>
            <a:pPr>
              <a:defRPr sz="800" b="0" i="0" u="none" strike="noStrike" kern="1200" baseline="0">
                <a:solidFill>
                  <a:sysClr val="windowText" lastClr="000000"/>
                </a:solidFill>
                <a:latin typeface="+mn-lt"/>
                <a:ea typeface="+mn-ea"/>
                <a:cs typeface="+mn-cs"/>
              </a:defRPr>
            </a:pPr>
            <a:endParaRPr lang="en-US"/>
          </a:p>
        </c:txPr>
        <c:crossAx val="989176144"/>
        <c:crosses val="autoZero"/>
        <c:auto val="1"/>
        <c:lblAlgn val="ctr"/>
        <c:lblOffset val="100"/>
        <c:noMultiLvlLbl val="0"/>
      </c:catAx>
      <c:valAx>
        <c:axId val="9891761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en-AU" sz="800">
                    <a:solidFill>
                      <a:sysClr val="windowText" lastClr="000000"/>
                    </a:solidFill>
                  </a:rPr>
                  <a:t>$m</a:t>
                </a:r>
              </a:p>
            </c:rich>
          </c:tx>
          <c:layout>
            <c:manualLayout>
              <c:xMode val="edge"/>
              <c:yMode val="edge"/>
              <c:x val="0.64433298873269806"/>
              <c:y val="0.94449982882574457"/>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989175784"/>
        <c:crosses val="autoZero"/>
        <c:crossBetween val="between"/>
        <c:majorUnit val="20"/>
      </c:valAx>
      <c:spPr>
        <a:noFill/>
        <a:ln>
          <a:noFill/>
        </a:ln>
        <a:effectLst/>
      </c:spPr>
    </c:plotArea>
    <c:legend>
      <c:legendPos val="b"/>
      <c:layout>
        <c:manualLayout>
          <c:xMode val="edge"/>
          <c:yMode val="edge"/>
          <c:x val="0.84152348736466942"/>
          <c:y val="7.0550867396555514E-2"/>
          <c:w val="0.14264931472281064"/>
          <c:h val="0.15632013162533789"/>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nchor="ctr" anchorCtr="0"/>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13E7A-959B-447C-AF8D-B200FF0C9948}">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2025-09-09T03:30:00Z</dcterms:created>
  <dcterms:modified xsi:type="dcterms:W3CDTF">2025-09-10T01:11:00Z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e5a7ee-c283-40b0-98eb-fa437df4c031_Enabled">
    <vt:lpwstr>true</vt:lpwstr>
  </property>
  <property fmtid="{D5CDD505-2E9C-101B-9397-08002B2CF9AE}" pid="3" name="MSIP_Label_c8e5a7ee-c283-40b0-98eb-fa437df4c031_SetDate">
    <vt:lpwstr>2025-06-27T04:14:54Z</vt:lpwstr>
  </property>
  <property fmtid="{D5CDD505-2E9C-101B-9397-08002B2CF9AE}" pid="4" name="MSIP_Label_c8e5a7ee-c283-40b0-98eb-fa437df4c031_Method">
    <vt:lpwstr>Privileged</vt:lpwstr>
  </property>
  <property fmtid="{D5CDD505-2E9C-101B-9397-08002B2CF9AE}" pid="5" name="MSIP_Label_c8e5a7ee-c283-40b0-98eb-fa437df4c031_Name">
    <vt:lpwstr>OFFICIAL</vt:lpwstr>
  </property>
  <property fmtid="{D5CDD505-2E9C-101B-9397-08002B2CF9AE}" pid="6" name="MSIP_Label_c8e5a7ee-c283-40b0-98eb-fa437df4c031_SiteId">
    <vt:lpwstr>34cdb737-c4fa-4c21-9a34-88ac2d721f88</vt:lpwstr>
  </property>
  <property fmtid="{D5CDD505-2E9C-101B-9397-08002B2CF9AE}" pid="7" name="MSIP_Label_c8e5a7ee-c283-40b0-98eb-fa437df4c031_ActionId">
    <vt:lpwstr>833e5364-52d2-42ba-b930-a19ec86db3e8</vt:lpwstr>
  </property>
  <property fmtid="{D5CDD505-2E9C-101B-9397-08002B2CF9AE}" pid="8" name="MSIP_Label_c8e5a7ee-c283-40b0-98eb-fa437df4c031_ContentBits">
    <vt:lpwstr>0</vt:lpwstr>
  </property>
  <property fmtid="{D5CDD505-2E9C-101B-9397-08002B2CF9AE}" pid="9" name="MSIP_Label_c8e5a7ee-c283-40b0-98eb-fa437df4c031_Tag">
    <vt:lpwstr>10, 0, 1, 1</vt:lpwstr>
  </property>
</Properties>
</file>