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237CF" w14:textId="07871BF3" w:rsidR="0094124E" w:rsidRDefault="00CD5C1E" w:rsidP="0094124E">
      <w:pPr>
        <w:ind w:left="-1418"/>
      </w:pPr>
      <w:r>
        <w:rPr>
          <w:noProof/>
        </w:rPr>
        <w:drawing>
          <wp:inline distT="0" distB="0" distL="0" distR="0" wp14:anchorId="0B2096A5" wp14:editId="00E7133E">
            <wp:extent cx="7645481" cy="1400175"/>
            <wp:effectExtent l="0" t="0" r="0" b="0"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221" cy="14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B10E" w14:textId="77777777" w:rsidR="00FC16F3" w:rsidRDefault="00FC16F3" w:rsidP="0094124E">
      <w:pPr>
        <w:ind w:left="-1418"/>
        <w:sectPr w:rsidR="00FC16F3" w:rsidSect="00477982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0" w:right="1440" w:bottom="1440" w:left="1440" w:header="0" w:footer="0" w:gutter="0"/>
          <w:cols w:space="708"/>
          <w:titlePg/>
          <w:docGrid w:linePitch="360"/>
        </w:sectPr>
      </w:pPr>
    </w:p>
    <w:p w14:paraId="163C2A0C" w14:textId="0F3C3DD6" w:rsidR="002117E6" w:rsidRDefault="001D64AC" w:rsidP="00477982">
      <w:pPr>
        <w:pStyle w:val="Heading1"/>
      </w:pPr>
      <w:r>
        <w:t>Cultural Funding by Government</w:t>
      </w:r>
      <w:r w:rsidRPr="008A5994">
        <w:t>—</w:t>
      </w:r>
      <w:r w:rsidR="0070126E" w:rsidRPr="008A5994">
        <w:t>202</w:t>
      </w:r>
      <w:r w:rsidR="003E7A34">
        <w:t>3</w:t>
      </w:r>
      <w:r w:rsidR="0070126E" w:rsidRPr="008A5994">
        <w:t>–2</w:t>
      </w:r>
      <w:r w:rsidR="003E7A34">
        <w:t>4</w:t>
      </w:r>
    </w:p>
    <w:p w14:paraId="4DE7DF29" w14:textId="77777777" w:rsidR="00C14B8A" w:rsidRDefault="00C14B8A" w:rsidP="00C14B8A">
      <w:pPr>
        <w:pStyle w:val="Heading2"/>
      </w:pPr>
      <w:r>
        <w:rPr>
          <w:szCs w:val="36"/>
        </w:rPr>
        <w:t>Northern</w:t>
      </w:r>
      <w:r w:rsidRPr="00527D9C">
        <w:rPr>
          <w:szCs w:val="36"/>
        </w:rPr>
        <w:t xml:space="preserve"> Territory Government</w:t>
      </w:r>
    </w:p>
    <w:p w14:paraId="5368FD89" w14:textId="18A632D7" w:rsidR="00C14B8A" w:rsidRPr="001F6592" w:rsidRDefault="00C14B8A" w:rsidP="00C14B8A">
      <w:r w:rsidRPr="001F6592">
        <w:t>The estimate of expenditure funded by the Northern Territory Government in 202</w:t>
      </w:r>
      <w:r w:rsidR="003E7A34">
        <w:t>3</w:t>
      </w:r>
      <w:r w:rsidRPr="001F6592">
        <w:t>–2</w:t>
      </w:r>
      <w:r w:rsidR="003E7A34">
        <w:t>4</w:t>
      </w:r>
      <w:r w:rsidRPr="001F6592">
        <w:t xml:space="preserve"> for cultural activities was </w:t>
      </w:r>
      <w:r w:rsidRPr="001F6592">
        <w:rPr>
          <w:b/>
        </w:rPr>
        <w:t>$</w:t>
      </w:r>
      <w:r w:rsidR="005A524B">
        <w:rPr>
          <w:b/>
        </w:rPr>
        <w:t>80.4</w:t>
      </w:r>
      <w:r w:rsidRPr="001F6592">
        <w:rPr>
          <w:b/>
        </w:rPr>
        <w:t>m</w:t>
      </w:r>
      <w:r w:rsidRPr="001F6592">
        <w:t xml:space="preserve">, representing an increase of </w:t>
      </w:r>
      <w:r w:rsidR="005A524B">
        <w:t>less than 1</w:t>
      </w:r>
      <w:r w:rsidRPr="001F6592">
        <w:t>% or $</w:t>
      </w:r>
      <w:r w:rsidR="005A524B">
        <w:t>0.5</w:t>
      </w:r>
      <w:r w:rsidRPr="001F6592">
        <w:t>m from 202</w:t>
      </w:r>
      <w:r w:rsidR="003E7A34">
        <w:t>1</w:t>
      </w:r>
      <w:r w:rsidRPr="001F6592">
        <w:t>–2</w:t>
      </w:r>
      <w:r w:rsidR="003E7A34">
        <w:t>2</w:t>
      </w:r>
      <w:r w:rsidRPr="001F6592">
        <w:t>.</w:t>
      </w:r>
    </w:p>
    <w:p w14:paraId="7DD36235" w14:textId="4F43D0D1" w:rsidR="00C14B8A" w:rsidRPr="004E43FC" w:rsidRDefault="00C14B8A" w:rsidP="00C14B8A">
      <w:pPr>
        <w:pStyle w:val="Tablefigureheading"/>
      </w:pPr>
      <w:r w:rsidRPr="004E43FC">
        <w:t>Table. 1 Northern Territory Government cultural expenditure, 20</w:t>
      </w:r>
      <w:r w:rsidR="003E7A34">
        <w:t>20</w:t>
      </w:r>
      <w:bookmarkStart w:id="0" w:name="_Hlk201308421"/>
      <w:r w:rsidRPr="004E43FC">
        <w:t>–</w:t>
      </w:r>
      <w:bookmarkEnd w:id="0"/>
      <w:r w:rsidRPr="004E43FC">
        <w:t>2</w:t>
      </w:r>
      <w:r w:rsidR="003E7A34">
        <w:t>1</w:t>
      </w:r>
      <w:r w:rsidRPr="004E43FC">
        <w:t xml:space="preserve"> to 202</w:t>
      </w:r>
      <w:r w:rsidR="003E7A34">
        <w:t>3</w:t>
      </w:r>
      <w:r w:rsidRPr="004E43FC">
        <w:t>–2</w:t>
      </w:r>
      <w:r w:rsidR="003E7A34">
        <w:t>4</w:t>
      </w:r>
      <w:r w:rsidR="002A6551">
        <w:rPr>
          <w:rStyle w:val="FootnoteReference"/>
        </w:rPr>
        <w:footnoteReference w:id="1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Description w:val="Table 1—Northern Territory Government cultural expenditure, 2015–16 to 2017–18."/>
      </w:tblPr>
      <w:tblGrid>
        <w:gridCol w:w="1276"/>
        <w:gridCol w:w="1985"/>
        <w:gridCol w:w="1984"/>
      </w:tblGrid>
      <w:tr w:rsidR="003E7A34" w:rsidRPr="004E43FC" w14:paraId="3488672F" w14:textId="77777777" w:rsidTr="006133D6">
        <w:trPr>
          <w:cantSplit/>
          <w:tblHeader/>
        </w:trPr>
        <w:tc>
          <w:tcPr>
            <w:tcW w:w="1276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316B8B9B" w14:textId="7E439EC1" w:rsidR="003E7A34" w:rsidRPr="004E43FC" w:rsidRDefault="003E7A34" w:rsidP="003E7A34">
            <w:pPr>
              <w:pStyle w:val="Tablerowcolumnheading"/>
              <w:jc w:val="center"/>
            </w:pPr>
            <w:r w:rsidRPr="004E43FC">
              <w:t>2020–21</w:t>
            </w:r>
            <w:r w:rsidRPr="004E43FC">
              <w:rPr>
                <w:rStyle w:val="FootnoteReference"/>
              </w:rPr>
              <w:footnoteReference w:id="2"/>
            </w:r>
          </w:p>
        </w:tc>
        <w:tc>
          <w:tcPr>
            <w:tcW w:w="1985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05D798FF" w14:textId="4309D860" w:rsidR="003E7A34" w:rsidRPr="004E43FC" w:rsidRDefault="003E7A34" w:rsidP="003E7A34">
            <w:pPr>
              <w:pStyle w:val="Tablerowcolumnheadingcentred"/>
            </w:pPr>
            <w:r w:rsidRPr="004E43FC">
              <w:t>2021–22</w:t>
            </w:r>
            <w:r w:rsidRPr="004E43FC">
              <w:rPr>
                <w:rStyle w:val="FootnoteReference"/>
                <w:b w:val="0"/>
                <w:bCs w:val="0"/>
              </w:rPr>
              <w:footnoteReference w:id="3"/>
            </w:r>
          </w:p>
        </w:tc>
        <w:tc>
          <w:tcPr>
            <w:tcW w:w="1984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14:paraId="3B152064" w14:textId="437423CE" w:rsidR="003E7A34" w:rsidRPr="004E43FC" w:rsidRDefault="003E7A34" w:rsidP="003E7A34">
            <w:pPr>
              <w:pStyle w:val="Tablerowcolumnheadingcentred"/>
            </w:pPr>
            <w:r w:rsidRPr="004E43FC">
              <w:t>202</w:t>
            </w:r>
            <w:r>
              <w:t>3</w:t>
            </w:r>
            <w:r w:rsidRPr="004E43FC">
              <w:t>–2</w:t>
            </w:r>
            <w:r>
              <w:t>4</w:t>
            </w:r>
          </w:p>
        </w:tc>
      </w:tr>
      <w:tr w:rsidR="003E7A34" w:rsidRPr="004E43FC" w14:paraId="2082B2E1" w14:textId="77777777" w:rsidTr="006133D6">
        <w:trPr>
          <w:cantSplit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EB3B28" w14:textId="30388DCE" w:rsidR="003E7A34" w:rsidRPr="004E43FC" w:rsidRDefault="003E7A34" w:rsidP="003E7A34">
            <w:pPr>
              <w:pStyle w:val="Tabletext"/>
              <w:jc w:val="center"/>
            </w:pPr>
            <w:r w:rsidRPr="004E43FC">
              <w:t>$77.2m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495981" w14:textId="05A0AE16" w:rsidR="003E7A34" w:rsidRPr="004E43FC" w:rsidRDefault="003E7A34" w:rsidP="003E7A34">
            <w:pPr>
              <w:pStyle w:val="Tabletextcentred"/>
            </w:pPr>
            <w:r w:rsidRPr="004E43FC">
              <w:t>$79.9m ↑3%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EFB79F6" w14:textId="04CC8B06" w:rsidR="003E7A34" w:rsidRPr="004E43FC" w:rsidRDefault="003E7A34" w:rsidP="003E7A34">
            <w:pPr>
              <w:pStyle w:val="Tabletextcentred"/>
            </w:pPr>
            <w:r w:rsidRPr="004E43FC">
              <w:t>$</w:t>
            </w:r>
            <w:r w:rsidR="005A524B">
              <w:t>80.4</w:t>
            </w:r>
            <w:r w:rsidRPr="004E43FC">
              <w:t>m ↑</w:t>
            </w:r>
            <w:r w:rsidR="005A524B">
              <w:t>&lt;1</w:t>
            </w:r>
            <w:r w:rsidRPr="004E43FC">
              <w:t>%</w:t>
            </w:r>
          </w:p>
        </w:tc>
      </w:tr>
    </w:tbl>
    <w:p w14:paraId="5115136A" w14:textId="29A739F3" w:rsidR="00C14B8A" w:rsidRPr="004E43FC" w:rsidRDefault="00C14B8A" w:rsidP="00C14B8A">
      <w:pPr>
        <w:pStyle w:val="ListParagraph"/>
        <w:numPr>
          <w:ilvl w:val="0"/>
          <w:numId w:val="6"/>
        </w:numPr>
        <w:spacing w:before="240"/>
        <w:ind w:left="567" w:hanging="567"/>
      </w:pPr>
      <w:r w:rsidRPr="004E43FC">
        <w:t xml:space="preserve">Recurrent expenses accounted for </w:t>
      </w:r>
      <w:r w:rsidR="005A524B">
        <w:t>91</w:t>
      </w:r>
      <w:r w:rsidRPr="004E43FC">
        <w:t>% ($</w:t>
      </w:r>
      <w:r w:rsidR="005A524B">
        <w:t>73.0</w:t>
      </w:r>
      <w:r w:rsidRPr="004E43FC">
        <w:t>m) of funded cultural expenditure.</w:t>
      </w:r>
    </w:p>
    <w:p w14:paraId="3096B3C2" w14:textId="0FBE688B" w:rsidR="00C14B8A" w:rsidRPr="005A524B" w:rsidRDefault="00C14B8A" w:rsidP="00C14B8A">
      <w:pPr>
        <w:pStyle w:val="ListParagraph"/>
        <w:numPr>
          <w:ilvl w:val="0"/>
          <w:numId w:val="6"/>
        </w:numPr>
        <w:ind w:left="567" w:hanging="567"/>
      </w:pPr>
      <w:r w:rsidRPr="005A524B">
        <w:t>Capital expenditure was $</w:t>
      </w:r>
      <w:r w:rsidR="005A524B" w:rsidRPr="005A524B">
        <w:t>7.3</w:t>
      </w:r>
      <w:r w:rsidRPr="005A524B">
        <w:t>m, and the largest categor</w:t>
      </w:r>
      <w:r w:rsidR="005A524B" w:rsidRPr="005A524B">
        <w:t>ies</w:t>
      </w:r>
      <w:r w:rsidRPr="005A524B">
        <w:t xml:space="preserve"> w</w:t>
      </w:r>
      <w:r w:rsidR="005A524B" w:rsidRPr="005A524B">
        <w:t>ere</w:t>
      </w:r>
      <w:r w:rsidRPr="005A524B">
        <w:t xml:space="preserve"> </w:t>
      </w:r>
      <w:r w:rsidR="005A524B" w:rsidRPr="005A524B">
        <w:rPr>
          <w:i/>
        </w:rPr>
        <w:t xml:space="preserve">Other museums and cultural heritage </w:t>
      </w:r>
      <w:r w:rsidR="005A524B" w:rsidRPr="005A524B">
        <w:t xml:space="preserve">($2.1m) and </w:t>
      </w:r>
      <w:r w:rsidR="005A524B" w:rsidRPr="005A524B">
        <w:rPr>
          <w:i/>
        </w:rPr>
        <w:t xml:space="preserve">Art museums </w:t>
      </w:r>
      <w:r w:rsidR="005A524B" w:rsidRPr="005A524B">
        <w:t>($2.0m)</w:t>
      </w:r>
      <w:r w:rsidRPr="005A524B">
        <w:t>.</w:t>
      </w:r>
    </w:p>
    <w:p w14:paraId="207AE2AF" w14:textId="58F28EA0" w:rsidR="00C14B8A" w:rsidRPr="004E43FC" w:rsidRDefault="00C14B8A" w:rsidP="00C14B8A">
      <w:pPr>
        <w:pStyle w:val="ListParagraph"/>
        <w:numPr>
          <w:ilvl w:val="0"/>
          <w:numId w:val="6"/>
        </w:numPr>
        <w:ind w:left="567" w:hanging="567"/>
      </w:pPr>
      <w:r w:rsidRPr="004E43FC">
        <w:t>The estimate of per person funding was $</w:t>
      </w:r>
      <w:r w:rsidR="005A524B">
        <w:t>316.47</w:t>
      </w:r>
      <w:r w:rsidRPr="004E43FC">
        <w:t>.</w:t>
      </w:r>
    </w:p>
    <w:p w14:paraId="255718CF" w14:textId="1D58156C" w:rsidR="00C14B8A" w:rsidRPr="004E43FC" w:rsidRDefault="00C14B8A" w:rsidP="00C14B8A">
      <w:r w:rsidRPr="004E43FC">
        <w:t xml:space="preserve">Funds for Total </w:t>
      </w:r>
      <w:r w:rsidRPr="00EA168C">
        <w:rPr>
          <w:b/>
          <w:bCs/>
          <w:i/>
        </w:rPr>
        <w:t>Heritage</w:t>
      </w:r>
      <w:r w:rsidRPr="004E43FC">
        <w:t xml:space="preserve"> activities (recurrent and capital) increased </w:t>
      </w:r>
      <w:r w:rsidR="005A524B">
        <w:t>13</w:t>
      </w:r>
      <w:r w:rsidRPr="004E43FC">
        <w:t>% (or $</w:t>
      </w:r>
      <w:r w:rsidR="005A524B">
        <w:t>5.6</w:t>
      </w:r>
      <w:r w:rsidRPr="004E43FC">
        <w:t>m) to $</w:t>
      </w:r>
      <w:r w:rsidR="005A524B">
        <w:t>48.0</w:t>
      </w:r>
      <w:r w:rsidRPr="004E43FC">
        <w:t>m.</w:t>
      </w:r>
    </w:p>
    <w:p w14:paraId="195F90BF" w14:textId="4FB85205" w:rsidR="00C14B8A" w:rsidRPr="004E43FC" w:rsidRDefault="00C14B8A" w:rsidP="00C14B8A">
      <w:r w:rsidRPr="005A524B">
        <w:t xml:space="preserve">This increase was driven </w:t>
      </w:r>
      <w:r w:rsidR="005A524B" w:rsidRPr="005A524B">
        <w:t xml:space="preserve">mostly </w:t>
      </w:r>
      <w:r w:rsidRPr="005A524B">
        <w:t xml:space="preserve">by expenditure on </w:t>
      </w:r>
      <w:r w:rsidRPr="005A524B">
        <w:rPr>
          <w:i/>
        </w:rPr>
        <w:t>Art museums</w:t>
      </w:r>
      <w:r w:rsidRPr="005A524B">
        <w:t xml:space="preserve"> (↑$</w:t>
      </w:r>
      <w:r w:rsidR="005A524B" w:rsidRPr="005A524B">
        <w:t>9.5</w:t>
      </w:r>
      <w:r w:rsidRPr="005A524B">
        <w:t>m)</w:t>
      </w:r>
      <w:r w:rsidR="005A524B" w:rsidRPr="005A524B">
        <w:t>.</w:t>
      </w:r>
    </w:p>
    <w:p w14:paraId="0240B72C" w14:textId="048F98C9" w:rsidR="00C14B8A" w:rsidRPr="004E43FC" w:rsidRDefault="00C14B8A" w:rsidP="00C14B8A">
      <w:r w:rsidRPr="005A524B">
        <w:t xml:space="preserve">The largest categories of </w:t>
      </w:r>
      <w:r w:rsidRPr="005A524B">
        <w:rPr>
          <w:i/>
        </w:rPr>
        <w:t>Heritage</w:t>
      </w:r>
      <w:r w:rsidRPr="005A524B">
        <w:t xml:space="preserve"> expenditure were </w:t>
      </w:r>
      <w:r w:rsidRPr="005A524B">
        <w:rPr>
          <w:i/>
        </w:rPr>
        <w:t>Art museums</w:t>
      </w:r>
      <w:r w:rsidRPr="005A524B">
        <w:t xml:space="preserve"> with </w:t>
      </w:r>
      <w:r w:rsidR="005A524B" w:rsidRPr="005A524B">
        <w:t>$31</w:t>
      </w:r>
      <w:r w:rsidRPr="005A524B">
        <w:t>.</w:t>
      </w:r>
      <w:r w:rsidR="005A524B" w:rsidRPr="005A524B">
        <w:t>3</w:t>
      </w:r>
      <w:r w:rsidRPr="005A524B">
        <w:t xml:space="preserve">m, followed by </w:t>
      </w:r>
      <w:r w:rsidR="005A524B" w:rsidRPr="005A524B">
        <w:rPr>
          <w:i/>
        </w:rPr>
        <w:t>Other museums and cultural heritage</w:t>
      </w:r>
      <w:r w:rsidRPr="005A524B">
        <w:t xml:space="preserve"> with $</w:t>
      </w:r>
      <w:r w:rsidR="005A524B" w:rsidRPr="005A524B">
        <w:t>9</w:t>
      </w:r>
      <w:r w:rsidRPr="005A524B">
        <w:t>.</w:t>
      </w:r>
      <w:r w:rsidR="005A524B" w:rsidRPr="005A524B">
        <w:t>7</w:t>
      </w:r>
      <w:r w:rsidRPr="005A524B">
        <w:t xml:space="preserve">m. Expenditure on </w:t>
      </w:r>
      <w:r w:rsidRPr="005A524B">
        <w:rPr>
          <w:i/>
        </w:rPr>
        <w:t>Art museums</w:t>
      </w:r>
      <w:r w:rsidRPr="005A524B">
        <w:t xml:space="preserve"> was </w:t>
      </w:r>
      <w:r w:rsidR="005A524B">
        <w:t>nearly two thirds</w:t>
      </w:r>
      <w:r w:rsidRPr="005A524B">
        <w:t xml:space="preserve"> (</w:t>
      </w:r>
      <w:r w:rsidR="005A524B">
        <w:t>65</w:t>
      </w:r>
      <w:r w:rsidRPr="005A524B">
        <w:t xml:space="preserve">%) </w:t>
      </w:r>
      <w:r w:rsidR="005A524B">
        <w:t xml:space="preserve">of </w:t>
      </w:r>
      <w:r w:rsidRPr="005A524B">
        <w:rPr>
          <w:i/>
        </w:rPr>
        <w:t>Heritage</w:t>
      </w:r>
      <w:r w:rsidRPr="005A524B">
        <w:t xml:space="preserve"> expenditure by the Northern Territory Government.</w:t>
      </w:r>
    </w:p>
    <w:p w14:paraId="07BFC6EA" w14:textId="77777777" w:rsidR="00C14B8A" w:rsidRPr="000E6EF9" w:rsidRDefault="00C14B8A" w:rsidP="00C14B8A">
      <w:pPr>
        <w:pStyle w:val="Tablefigureheading"/>
        <w:rPr>
          <w:b w:val="0"/>
          <w:bCs/>
          <w:color w:val="C00000"/>
        </w:rPr>
      </w:pPr>
      <w:bookmarkStart w:id="1" w:name="_Toc524533023"/>
      <w:r w:rsidRPr="00303AC1">
        <w:t xml:space="preserve">Figure 1. </w:t>
      </w:r>
      <w:r>
        <w:t>Northern Territory Government</w:t>
      </w:r>
      <w:r w:rsidRPr="00303AC1">
        <w:t xml:space="preserve"> heritage expenditure</w:t>
      </w:r>
      <w:bookmarkEnd w:id="1"/>
      <w:r>
        <w:t xml:space="preserve"> (recurrent and capital)</w:t>
      </w:r>
    </w:p>
    <w:p w14:paraId="633EADC3" w14:textId="2EE9BD48" w:rsidR="00C14B8A" w:rsidRPr="00632466" w:rsidRDefault="007734DC" w:rsidP="00C14B8A">
      <w:pPr>
        <w:rPr>
          <w:lang w:eastAsia="en-US"/>
        </w:rPr>
      </w:pPr>
      <w:r>
        <w:rPr>
          <w:noProof/>
        </w:rPr>
        <w:drawing>
          <wp:inline distT="0" distB="0" distL="0" distR="0" wp14:anchorId="580F5204" wp14:editId="2AF2595F">
            <wp:extent cx="5522595" cy="2196935"/>
            <wp:effectExtent l="0" t="0" r="1905" b="0"/>
            <wp:docPr id="1799055725" name="Chart 1" descr="Figure 1. Northern Territory Government heritage expenditure (recurrent and capital).&#10;A column graph compares expenditure across the heritage categories of Art museums, Other museums &amp; cultural heritage, Libraries and Archives between the financial years of 2020-21, 2021-22 and 2023-24 for the Northern Territory Government.&#10;2020-21: Art museums $19.4m, Other museums &amp; cultural heritage $6.1m, Libraries $11.6m, Archives $0.7m.&#10;2021-22: Art museums $21.8m, Other museums &amp; cultural heritage $8.0m, Libraries $11.9m, Archives $0.7m.&#10;2023-24: Art museums $31.3m, Other museums &amp; cultural heritage $9.7m, Libraries $5.4m, Archives $1.6m.">
              <a:extLst xmlns:a="http://schemas.openxmlformats.org/drawingml/2006/main">
                <a:ext uri="{FF2B5EF4-FFF2-40B4-BE49-F238E27FC236}">
                  <a16:creationId xmlns:a16="http://schemas.microsoft.com/office/drawing/2014/main" id="{85F5B7E6-B69B-4C00-AD48-2BF027EB0E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9D0FDB" w14:textId="4549C011" w:rsidR="00C14B8A" w:rsidRPr="004E43FC" w:rsidRDefault="00C14B8A" w:rsidP="00C14B8A">
      <w:r w:rsidRPr="005A524B">
        <w:t xml:space="preserve">Funds for Total </w:t>
      </w:r>
      <w:r w:rsidRPr="00EA168C">
        <w:rPr>
          <w:b/>
          <w:bCs/>
          <w:i/>
        </w:rPr>
        <w:t>Arts</w:t>
      </w:r>
      <w:r w:rsidRPr="005A524B">
        <w:t xml:space="preserve"> activities (recurrent and capital) dropped </w:t>
      </w:r>
      <w:r w:rsidR="005A524B" w:rsidRPr="005A524B">
        <w:t>14</w:t>
      </w:r>
      <w:r w:rsidRPr="005A524B">
        <w:t>% (or $</w:t>
      </w:r>
      <w:r w:rsidR="005A524B" w:rsidRPr="005A524B">
        <w:t>5.2</w:t>
      </w:r>
      <w:r w:rsidRPr="005A524B">
        <w:t>m) to $</w:t>
      </w:r>
      <w:r w:rsidR="005A524B" w:rsidRPr="005A524B">
        <w:t>32.3</w:t>
      </w:r>
      <w:r w:rsidRPr="005A524B">
        <w:t>m.</w:t>
      </w:r>
    </w:p>
    <w:p w14:paraId="02764969" w14:textId="00DAC4EF" w:rsidR="00C14B8A" w:rsidRPr="004E43FC" w:rsidRDefault="00C14B8A" w:rsidP="00C14B8A">
      <w:r w:rsidRPr="007734DC">
        <w:t xml:space="preserve">The main contributor to this decrease was </w:t>
      </w:r>
      <w:r w:rsidR="005A524B" w:rsidRPr="007734DC">
        <w:rPr>
          <w:i/>
        </w:rPr>
        <w:t>Multi-arts festivals</w:t>
      </w:r>
      <w:r w:rsidRPr="007734DC">
        <w:t xml:space="preserve"> ↓$</w:t>
      </w:r>
      <w:r w:rsidR="007734DC" w:rsidRPr="007734DC">
        <w:t>6.9</w:t>
      </w:r>
      <w:r w:rsidRPr="007734DC">
        <w:t>m</w:t>
      </w:r>
      <w:r w:rsidR="005A524B" w:rsidRPr="007734DC">
        <w:t xml:space="preserve"> and </w:t>
      </w:r>
      <w:r w:rsidR="005A524B" w:rsidRPr="00E72E2C">
        <w:rPr>
          <w:i/>
          <w:iCs/>
        </w:rPr>
        <w:t>Arts administration</w:t>
      </w:r>
      <w:r w:rsidR="007734DC" w:rsidRPr="007734DC">
        <w:t xml:space="preserve"> ↓$4.7m</w:t>
      </w:r>
      <w:r w:rsidRPr="007734DC">
        <w:t xml:space="preserve">, offset by increases in funding for </w:t>
      </w:r>
      <w:r w:rsidR="005A524B" w:rsidRPr="007734DC">
        <w:rPr>
          <w:i/>
          <w:iCs/>
        </w:rPr>
        <w:t>Other arts</w:t>
      </w:r>
      <w:r w:rsidRPr="007734DC">
        <w:t xml:space="preserve"> ↑$</w:t>
      </w:r>
      <w:r w:rsidR="007734DC" w:rsidRPr="007734DC">
        <w:t>4.2</w:t>
      </w:r>
      <w:r w:rsidRPr="007734DC">
        <w:t>m and</w:t>
      </w:r>
      <w:r w:rsidRPr="007734DC">
        <w:rPr>
          <w:i/>
        </w:rPr>
        <w:t xml:space="preserve"> </w:t>
      </w:r>
      <w:r w:rsidR="007734DC" w:rsidRPr="007734DC">
        <w:rPr>
          <w:i/>
        </w:rPr>
        <w:t>Performing arts venues</w:t>
      </w:r>
      <w:r w:rsidRPr="007734DC">
        <w:rPr>
          <w:i/>
        </w:rPr>
        <w:t xml:space="preserve"> </w:t>
      </w:r>
      <w:r w:rsidRPr="007734DC">
        <w:t>↑$</w:t>
      </w:r>
      <w:r w:rsidR="007734DC" w:rsidRPr="007734DC">
        <w:t>1.6</w:t>
      </w:r>
      <w:r w:rsidRPr="007734DC">
        <w:t>m.</w:t>
      </w:r>
    </w:p>
    <w:p w14:paraId="0EEAF692" w14:textId="4E5AD470" w:rsidR="00C14B8A" w:rsidRPr="004E43FC" w:rsidRDefault="00C14B8A" w:rsidP="00C14B8A">
      <w:pPr>
        <w:pStyle w:val="Tablefigureheading"/>
        <w:rPr>
          <w:b w:val="0"/>
          <w:bCs/>
          <w:color w:val="C00000"/>
        </w:rPr>
      </w:pPr>
      <w:bookmarkStart w:id="2" w:name="_Toc524533024"/>
      <w:r w:rsidRPr="00303AC1">
        <w:lastRenderedPageBreak/>
        <w:t xml:space="preserve">Figure 2. </w:t>
      </w:r>
      <w:r>
        <w:t>Northern Territory</w:t>
      </w:r>
      <w:r w:rsidRPr="00303AC1">
        <w:t xml:space="preserve"> Government arts expenditure</w:t>
      </w:r>
      <w:r>
        <w:t xml:space="preserve"> (recurrent and capital)</w:t>
      </w:r>
      <w:r w:rsidRPr="00303AC1">
        <w:t>, by selected catego</w:t>
      </w:r>
      <w:bookmarkStart w:id="3" w:name="_GoBack"/>
      <w:bookmarkEnd w:id="3"/>
      <w:r w:rsidRPr="00303AC1">
        <w:t>ries</w:t>
      </w:r>
      <w:bookmarkStart w:id="4" w:name="_Ref201308195"/>
      <w:bookmarkEnd w:id="2"/>
      <w:r w:rsidR="002A6551">
        <w:rPr>
          <w:rStyle w:val="FootnoteReference"/>
        </w:rPr>
        <w:footnoteReference w:id="4"/>
      </w:r>
      <w:bookmarkEnd w:id="4"/>
      <w:r>
        <w:t xml:space="preserve"> </w:t>
      </w:r>
    </w:p>
    <w:p w14:paraId="67020612" w14:textId="4459A93F" w:rsidR="00C14B8A" w:rsidRPr="00DF1779" w:rsidRDefault="007734DC" w:rsidP="00C14B8A">
      <w:pPr>
        <w:rPr>
          <w:lang w:eastAsia="en-US"/>
        </w:rPr>
      </w:pPr>
      <w:r>
        <w:rPr>
          <w:noProof/>
        </w:rPr>
        <w:drawing>
          <wp:inline distT="0" distB="0" distL="0" distR="0" wp14:anchorId="3EBEA66F" wp14:editId="7AC18EE2">
            <wp:extent cx="5793740" cy="2054431"/>
            <wp:effectExtent l="0" t="0" r="0" b="3175"/>
            <wp:docPr id="812091741" name="Chart 1" descr="Figure 2. Northern Territory Government arts expenditure (recurrent and capital), by selected categories.&#10;A column graph compares expenditure across the arts categories of Performing arts venues, Visual arts &amp; crafts, Film &amp; video production &amp; distribution, Arts education, Multi-arts festivals, Arts administration and Other arts between the financial years of 2020-21, 2021-22 and 2023-24 for the Northern Territory Government.&#10;2020-21: Performing arts venues $0.5m, Visual arts &amp; crafts $2.0m, Film &amp; video production &amp; distribution $3.7m, Arts education $3.7m, Multi-arts festivals $13.1m, Arts administration $8.4m, Other arts $0.2m.&#10;2021-22: Performing arts venues $0.8m, Visual arts &amp; crafts $2.8m, Film &amp; video production &amp; distribution $2.3m, Arts education $4.0m, Multi-arts festivals $12.5m, Arts administration $7.4m, Other arts $0.1m.&#10;2023-24: Performing arts venues $2.4m, Visual arts &amp; crafts $3.6m, Film &amp; video production &amp; distribution $3.1m, Arts education $4.7m, Multi-arts festivals $5.6m, Arts administration $2.7m, Other arts $4.3m.">
              <a:extLst xmlns:a="http://schemas.openxmlformats.org/drawingml/2006/main">
                <a:ext uri="{FF2B5EF4-FFF2-40B4-BE49-F238E27FC236}">
                  <a16:creationId xmlns:a16="http://schemas.microsoft.com/office/drawing/2014/main" id="{4D59B28F-11D2-45E7-954F-C734EA4CC3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3AFD8DF" w14:textId="77777777" w:rsidR="00C14B8A" w:rsidRPr="007734DC" w:rsidRDefault="00C14B8A" w:rsidP="00C14B8A">
      <w:r w:rsidRPr="007734DC">
        <w:t xml:space="preserve">The main categories of </w:t>
      </w:r>
      <w:r w:rsidRPr="007734DC">
        <w:rPr>
          <w:i/>
        </w:rPr>
        <w:t>Arts</w:t>
      </w:r>
      <w:r w:rsidRPr="007734DC">
        <w:t xml:space="preserve"> activities funding were:</w:t>
      </w:r>
    </w:p>
    <w:p w14:paraId="1C1FD847" w14:textId="6A7EA712" w:rsidR="00C14B8A" w:rsidRPr="007734DC" w:rsidRDefault="00C14B8A" w:rsidP="00C14B8A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Multi-arts festivals</w:t>
      </w:r>
      <w:r w:rsidRPr="007734DC">
        <w:t>—$</w:t>
      </w:r>
      <w:r w:rsidR="007734DC" w:rsidRPr="007734DC">
        <w:t>5.6</w:t>
      </w:r>
      <w:r w:rsidRPr="007734DC">
        <w:t>m</w:t>
      </w:r>
    </w:p>
    <w:p w14:paraId="0CB8D98A" w14:textId="7B305D43" w:rsidR="00C14B8A" w:rsidRPr="007734DC" w:rsidRDefault="00C14B8A" w:rsidP="00C14B8A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Arts education</w:t>
      </w:r>
      <w:r w:rsidRPr="007734DC">
        <w:t>—$4.</w:t>
      </w:r>
      <w:r w:rsidR="007734DC" w:rsidRPr="007734DC">
        <w:t>7</w:t>
      </w:r>
      <w:r w:rsidRPr="007734DC">
        <w:t>m</w:t>
      </w:r>
    </w:p>
    <w:p w14:paraId="2E425162" w14:textId="1283EF36" w:rsidR="007734DC" w:rsidRPr="007734DC" w:rsidRDefault="007734DC" w:rsidP="007734DC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Other arts</w:t>
      </w:r>
      <w:r w:rsidRPr="007734DC">
        <w:t>—$4.3m</w:t>
      </w:r>
    </w:p>
    <w:p w14:paraId="2A7E2A06" w14:textId="44398979" w:rsidR="00C14B8A" w:rsidRPr="007734DC" w:rsidRDefault="00C14B8A" w:rsidP="00C14B8A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Visual arts and crafts</w:t>
      </w:r>
      <w:r w:rsidRPr="007734DC">
        <w:t>—$</w:t>
      </w:r>
      <w:r w:rsidR="007734DC" w:rsidRPr="007734DC">
        <w:t>3.6</w:t>
      </w:r>
      <w:r w:rsidRPr="007734DC">
        <w:t>m</w:t>
      </w:r>
    </w:p>
    <w:p w14:paraId="451EE612" w14:textId="1F2C67E2" w:rsidR="00C14B8A" w:rsidRPr="007734DC" w:rsidRDefault="00C14B8A" w:rsidP="00C14B8A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Film and video production and distribution</w:t>
      </w:r>
      <w:r w:rsidRPr="007734DC">
        <w:t>—$</w:t>
      </w:r>
      <w:r w:rsidR="007734DC" w:rsidRPr="007734DC">
        <w:t>3.1</w:t>
      </w:r>
      <w:r w:rsidRPr="007734DC">
        <w:t>m</w:t>
      </w:r>
    </w:p>
    <w:p w14:paraId="45642B14" w14:textId="1B53E4F0" w:rsidR="007734DC" w:rsidRPr="007734DC" w:rsidRDefault="007734DC" w:rsidP="007734DC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Arts administration</w:t>
      </w:r>
      <w:r w:rsidRPr="007734DC">
        <w:t>—$2.7m</w:t>
      </w:r>
    </w:p>
    <w:p w14:paraId="2E31A845" w14:textId="08E5E281" w:rsidR="007734DC" w:rsidRPr="007734DC" w:rsidRDefault="007734DC" w:rsidP="007734DC">
      <w:pPr>
        <w:pStyle w:val="ListParagraph"/>
        <w:numPr>
          <w:ilvl w:val="0"/>
          <w:numId w:val="9"/>
        </w:numPr>
        <w:ind w:left="567" w:hanging="567"/>
      </w:pPr>
      <w:r w:rsidRPr="007734DC">
        <w:rPr>
          <w:i/>
        </w:rPr>
        <w:t>Performing arts venues</w:t>
      </w:r>
      <w:r w:rsidRPr="007734DC">
        <w:t>—$2.4m</w:t>
      </w:r>
    </w:p>
    <w:p w14:paraId="6DCD8A94" w14:textId="67E9683B" w:rsidR="00C14B8A" w:rsidRPr="004E43FC" w:rsidRDefault="00C14B8A" w:rsidP="00C14B8A">
      <w:r w:rsidRPr="007734DC">
        <w:t xml:space="preserve">Total </w:t>
      </w:r>
      <w:r w:rsidR="003E7A34" w:rsidRPr="007734DC">
        <w:t xml:space="preserve">heritage and arts </w:t>
      </w:r>
      <w:r w:rsidRPr="00EA168C">
        <w:rPr>
          <w:b/>
          <w:bCs/>
        </w:rPr>
        <w:t>recurrent</w:t>
      </w:r>
      <w:r w:rsidRPr="007734DC">
        <w:t xml:space="preserve"> expenditure increased by less than 1% (or $</w:t>
      </w:r>
      <w:r w:rsidR="007734DC" w:rsidRPr="007734DC">
        <w:t>0.1</w:t>
      </w:r>
      <w:r w:rsidRPr="007734DC">
        <w:t>m) to $</w:t>
      </w:r>
      <w:r w:rsidR="007734DC" w:rsidRPr="007734DC">
        <w:t>73.0</w:t>
      </w:r>
      <w:r w:rsidRPr="007734DC">
        <w:t>m.</w:t>
      </w:r>
    </w:p>
    <w:p w14:paraId="014A5212" w14:textId="036591F1" w:rsidR="00C14B8A" w:rsidRPr="004E43FC" w:rsidRDefault="00C14B8A" w:rsidP="00C14B8A">
      <w:r w:rsidRPr="004E43FC">
        <w:t xml:space="preserve">The largest recurrent expenditure was for </w:t>
      </w:r>
      <w:r w:rsidRPr="004E43FC">
        <w:rPr>
          <w:i/>
        </w:rPr>
        <w:t>Art museums</w:t>
      </w:r>
      <w:r w:rsidRPr="004E43FC">
        <w:t>, $</w:t>
      </w:r>
      <w:r w:rsidR="007734DC">
        <w:t>29.3</w:t>
      </w:r>
      <w:r w:rsidRPr="004E43FC">
        <w:t>m</w:t>
      </w:r>
      <w:r w:rsidR="007734DC">
        <w:t xml:space="preserve">, followed by </w:t>
      </w:r>
      <w:r w:rsidR="007734DC" w:rsidRPr="005A524B">
        <w:rPr>
          <w:i/>
        </w:rPr>
        <w:t>Other museums and cultural heritage</w:t>
      </w:r>
      <w:r w:rsidR="007734DC">
        <w:rPr>
          <w:i/>
        </w:rPr>
        <w:t xml:space="preserve"> </w:t>
      </w:r>
      <w:r w:rsidR="007734DC" w:rsidRPr="007734DC">
        <w:rPr>
          <w:iCs/>
        </w:rPr>
        <w:t>(</w:t>
      </w:r>
      <w:r w:rsidR="007734DC">
        <w:rPr>
          <w:iCs/>
        </w:rPr>
        <w:t>$7.6m</w:t>
      </w:r>
      <w:r w:rsidR="007734DC" w:rsidRPr="007734DC">
        <w:rPr>
          <w:iCs/>
        </w:rPr>
        <w:t>)</w:t>
      </w:r>
      <w:r w:rsidR="007734DC">
        <w:rPr>
          <w:i/>
        </w:rPr>
        <w:t>,</w:t>
      </w:r>
      <w:r w:rsidR="007734DC" w:rsidRPr="005A524B">
        <w:t xml:space="preserve"> </w:t>
      </w:r>
      <w:r w:rsidR="007734DC" w:rsidRPr="007734DC">
        <w:rPr>
          <w:i/>
          <w:iCs/>
        </w:rPr>
        <w:t>Multi-arts festivals</w:t>
      </w:r>
      <w:r w:rsidR="007734DC">
        <w:t xml:space="preserve"> ($5.6m) and </w:t>
      </w:r>
      <w:r w:rsidR="007734DC" w:rsidRPr="007734DC">
        <w:rPr>
          <w:i/>
          <w:iCs/>
        </w:rPr>
        <w:t>Libraries</w:t>
      </w:r>
      <w:r w:rsidR="007734DC">
        <w:t xml:space="preserve"> ($5.4m).</w:t>
      </w:r>
    </w:p>
    <w:p w14:paraId="1B3B2B39" w14:textId="08056DEC" w:rsidR="00C14B8A" w:rsidRDefault="00C14B8A" w:rsidP="00C14B8A">
      <w:pPr>
        <w:pStyle w:val="Tablefigureheading"/>
      </w:pPr>
      <w:r w:rsidRPr="00303AC1">
        <w:t xml:space="preserve">Figure 3. </w:t>
      </w:r>
      <w:r>
        <w:t>Northern Territory</w:t>
      </w:r>
      <w:r w:rsidRPr="00303AC1">
        <w:t xml:space="preserve"> Government recurrent cultural expenditure, by selected categories</w:t>
      </w:r>
      <w:r w:rsidR="002A6551" w:rsidRPr="002A6551">
        <w:rPr>
          <w:vertAlign w:val="superscript"/>
        </w:rPr>
        <w:fldChar w:fldCharType="begin"/>
      </w:r>
      <w:r w:rsidR="002A6551" w:rsidRPr="002A6551">
        <w:rPr>
          <w:vertAlign w:val="superscript"/>
        </w:rPr>
        <w:instrText xml:space="preserve"> NOTEREF _Ref201308195 \h </w:instrText>
      </w:r>
      <w:r w:rsidR="002A6551">
        <w:rPr>
          <w:vertAlign w:val="superscript"/>
        </w:rPr>
        <w:instrText xml:space="preserve"> \* MERGEFORMAT </w:instrText>
      </w:r>
      <w:r w:rsidR="002A6551" w:rsidRPr="002A6551">
        <w:rPr>
          <w:vertAlign w:val="superscript"/>
        </w:rPr>
      </w:r>
      <w:r w:rsidR="002A6551" w:rsidRPr="002A6551">
        <w:rPr>
          <w:vertAlign w:val="superscript"/>
        </w:rPr>
        <w:fldChar w:fldCharType="separate"/>
      </w:r>
      <w:r w:rsidR="000D24A0">
        <w:rPr>
          <w:vertAlign w:val="superscript"/>
        </w:rPr>
        <w:t>4</w:t>
      </w:r>
      <w:r w:rsidR="002A6551" w:rsidRPr="002A6551">
        <w:rPr>
          <w:vertAlign w:val="superscript"/>
        </w:rPr>
        <w:fldChar w:fldCharType="end"/>
      </w:r>
      <w:r w:rsidR="002A6551">
        <w:rPr>
          <w:rStyle w:val="FootnoteReference"/>
        </w:rPr>
        <w:footnoteReference w:id="5"/>
      </w:r>
      <w:r w:rsidR="002A6551">
        <w:rPr>
          <w:rStyle w:val="FootnoteReference"/>
        </w:rPr>
        <w:footnoteReference w:id="6"/>
      </w:r>
    </w:p>
    <w:p w14:paraId="241D3625" w14:textId="44BA9E50" w:rsidR="00EF2581" w:rsidRPr="00EF2581" w:rsidRDefault="002A6551" w:rsidP="00EF2581">
      <w:pPr>
        <w:rPr>
          <w:lang w:eastAsia="en-US"/>
        </w:rPr>
      </w:pPr>
      <w:r>
        <w:rPr>
          <w:noProof/>
        </w:rPr>
        <w:drawing>
          <wp:inline distT="0" distB="0" distL="0" distR="0" wp14:anchorId="4658364F" wp14:editId="425534DA">
            <wp:extent cx="5926455" cy="2885704"/>
            <wp:effectExtent l="0" t="0" r="0" b="0"/>
            <wp:docPr id="29061531" name="Chart 1" descr="Figure 3. Northern Territory Government recurrent cultural expenditure, by selected categories.&#10;A column graph compares expenditure across the heritage and arts categories of Art museums, Other museums &amp; cultural heritage, Libraries, Performing arts, Visual arts, crafts &amp; design, Film &amp; video production &amp; distribution, Arts education, Multi-arts festivals, Arts administration and Other arts between the financial years of 2020-21, 2021-22 and 2023-24 for the Northern Territory Government.&#10;2020-21: Art museums $17.8m, Other museums &amp; cultural heritage $5.6m, Libraries $10.4m, Performing arts $3.7m, Visual arts, crafts &amp; design $2.0m, Film &amp; video production &amp; distribution $3.6m, Arts education $3.7m, Multi-arts festivals $13.1m, Arts administration $8.3m, Other arts $0.1m.&#10;2021-22: Art museums $18.3m, Other museums &amp; cultural heritage $6.9m, Libraries $10.4m, Performing arts $3.4m, Visual arts, crafts &amp; design $3.2m, Film &amp; video production &amp; distribution $2.3m, Arts education $4.0m, Multi-arts festivals $12.5m, Arts administration $7.3m, Other arts $0.0m.&#10;2023-24: Art museums $29.3m, Other museums &amp; cultural heritage $7.6m, Libraries $5.4m, Performing arts $4.3m, Visual arts, crafts &amp; design $2.1m, Film &amp; video production &amp; distribution $3.1m, Arts education $4.7m, Multi-arts festivals $5.6m, Arts administration $2.6m, Other arts $4.3m.">
              <a:extLst xmlns:a="http://schemas.openxmlformats.org/drawingml/2006/main">
                <a:ext uri="{FF2B5EF4-FFF2-40B4-BE49-F238E27FC236}">
                  <a16:creationId xmlns:a16="http://schemas.microsoft.com/office/drawing/2014/main" id="{9480C17F-D4B2-4F34-9EB9-6FA5B722CB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EF2581" w:rsidRPr="00EF2581" w:rsidSect="00842CA0">
      <w:type w:val="continuous"/>
      <w:pgSz w:w="11906" w:h="16838"/>
      <w:pgMar w:top="1418" w:right="1133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97DD8" w14:textId="77777777" w:rsidR="00B54081" w:rsidRDefault="00B54081" w:rsidP="002117E6">
      <w:pPr>
        <w:spacing w:after="0"/>
      </w:pPr>
      <w:r>
        <w:separator/>
      </w:r>
    </w:p>
  </w:endnote>
  <w:endnote w:type="continuationSeparator" w:id="0">
    <w:p w14:paraId="290CF2DD" w14:textId="77777777" w:rsidR="00B54081" w:rsidRDefault="00B54081" w:rsidP="00211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D076" w14:textId="0CCF3460" w:rsidR="00FC0C98" w:rsidRPr="002454AC" w:rsidRDefault="00FC0C98" w:rsidP="00842CA0">
    <w:pPr>
      <w:pStyle w:val="Footer"/>
      <w:tabs>
        <w:tab w:val="clear" w:pos="9026"/>
        <w:tab w:val="right" w:pos="9333"/>
      </w:tabs>
      <w:rPr>
        <w:rStyle w:val="Hyperlink"/>
        <w:b w:val="0"/>
        <w:color w:val="auto"/>
        <w:sz w:val="18"/>
        <w:szCs w:val="18"/>
        <w:u w:val="none"/>
      </w:rPr>
    </w:pPr>
    <w:r w:rsidRPr="00CC4247">
      <w:rPr>
        <w:sz w:val="18"/>
        <w:szCs w:val="18"/>
      </w:rPr>
      <w:t>Cultural</w:t>
    </w:r>
    <w:r>
      <w:rPr>
        <w:sz w:val="18"/>
        <w:szCs w:val="18"/>
      </w:rPr>
      <w:t xml:space="preserve"> Funding by Government—20</w:t>
    </w:r>
    <w:r w:rsidR="006970A6">
      <w:rPr>
        <w:sz w:val="18"/>
        <w:szCs w:val="18"/>
      </w:rPr>
      <w:t>2</w:t>
    </w:r>
    <w:r w:rsidR="003E7A34">
      <w:rPr>
        <w:sz w:val="18"/>
        <w:szCs w:val="18"/>
      </w:rPr>
      <w:t>3</w:t>
    </w:r>
    <w:r>
      <w:t>–</w:t>
    </w:r>
    <w:r w:rsidR="00501008">
      <w:rPr>
        <w:sz w:val="18"/>
        <w:szCs w:val="18"/>
      </w:rPr>
      <w:t>2</w:t>
    </w:r>
    <w:r w:rsidR="003E7A34">
      <w:rPr>
        <w:sz w:val="18"/>
        <w:szCs w:val="18"/>
      </w:rPr>
      <w:t>4</w:t>
    </w:r>
    <w:r w:rsidRPr="00CC4247">
      <w:rPr>
        <w:sz w:val="18"/>
        <w:szCs w:val="18"/>
      </w:rPr>
      <w:t>—</w:t>
    </w:r>
    <w:r w:rsidR="003A015E">
      <w:rPr>
        <w:sz w:val="18"/>
        <w:szCs w:val="18"/>
      </w:rPr>
      <w:t>Northern Territory</w:t>
    </w:r>
    <w:r w:rsidRPr="00CC4247">
      <w:rPr>
        <w:sz w:val="18"/>
        <w:szCs w:val="18"/>
      </w:rPr>
      <w:t xml:space="preserve"> Government</w:t>
    </w:r>
    <w:r w:rsidRPr="0037566A">
      <w:rPr>
        <w:sz w:val="18"/>
        <w:szCs w:val="18"/>
      </w:rPr>
      <w:tab/>
    </w:r>
    <w:sdt>
      <w:sdtPr>
        <w:rPr>
          <w:sz w:val="18"/>
          <w:szCs w:val="18"/>
        </w:rPr>
        <w:id w:val="-924028759"/>
        <w:docPartObj>
          <w:docPartGallery w:val="Page Numbers (Top of Page)"/>
          <w:docPartUnique/>
        </w:docPartObj>
      </w:sdtPr>
      <w:sdtEndPr/>
      <w:sdtContent>
        <w:r w:rsidRPr="0037566A">
          <w:rPr>
            <w:sz w:val="18"/>
            <w:szCs w:val="18"/>
          </w:rPr>
          <w:t xml:space="preserve">Page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PAGE </w:instrText>
        </w:r>
        <w:r w:rsidRPr="0037566A">
          <w:rPr>
            <w:bCs/>
            <w:sz w:val="18"/>
            <w:szCs w:val="18"/>
          </w:rPr>
          <w:fldChar w:fldCharType="separate"/>
        </w:r>
        <w:r w:rsidR="00F9394E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  <w:r w:rsidRPr="0037566A">
          <w:rPr>
            <w:sz w:val="18"/>
            <w:szCs w:val="18"/>
          </w:rPr>
          <w:t xml:space="preserve"> of </w:t>
        </w:r>
        <w:r w:rsidRPr="0037566A">
          <w:rPr>
            <w:bCs/>
            <w:sz w:val="18"/>
            <w:szCs w:val="18"/>
          </w:rPr>
          <w:fldChar w:fldCharType="begin"/>
        </w:r>
        <w:r w:rsidRPr="0037566A">
          <w:rPr>
            <w:bCs/>
            <w:sz w:val="18"/>
            <w:szCs w:val="18"/>
          </w:rPr>
          <w:instrText xml:space="preserve"> NUMPAGES  </w:instrText>
        </w:r>
        <w:r w:rsidRPr="0037566A">
          <w:rPr>
            <w:bCs/>
            <w:sz w:val="18"/>
            <w:szCs w:val="18"/>
          </w:rPr>
          <w:fldChar w:fldCharType="separate"/>
        </w:r>
        <w:r w:rsidR="00F9394E">
          <w:rPr>
            <w:bCs/>
            <w:noProof/>
            <w:sz w:val="18"/>
            <w:szCs w:val="18"/>
          </w:rPr>
          <w:t>2</w:t>
        </w:r>
        <w:r w:rsidRPr="0037566A">
          <w:rPr>
            <w:bCs/>
            <w:sz w:val="18"/>
            <w:szCs w:val="18"/>
          </w:rPr>
          <w:fldChar w:fldCharType="end"/>
        </w:r>
      </w:sdtContent>
    </w:sdt>
  </w:p>
  <w:p w14:paraId="7A8AEEF8" w14:textId="77777777" w:rsidR="00FC0C98" w:rsidRDefault="00FC0C98" w:rsidP="00842CA0">
    <w:pPr>
      <w:spacing w:after="0"/>
      <w:ind w:left="-1418"/>
    </w:pPr>
    <w:r>
      <w:rPr>
        <w:noProof/>
        <w:lang w:eastAsia="en-AU"/>
      </w:rPr>
      <w:drawing>
        <wp:inline distT="0" distB="0" distL="0" distR="0" wp14:anchorId="22C413FE" wp14:editId="573FC905">
          <wp:extent cx="7560000" cy="358181"/>
          <wp:effectExtent l="0" t="0" r="3175" b="3810"/>
          <wp:docPr id="7" name="Picture 7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7560000" cy="358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BC86" w14:textId="236D0A3B" w:rsidR="00E23218" w:rsidRPr="00CD5C1E" w:rsidRDefault="00CD5C1E" w:rsidP="00CD5C1E">
    <w:pPr>
      <w:pStyle w:val="Footer"/>
      <w:rPr>
        <w:i/>
        <w:iCs/>
        <w:sz w:val="18"/>
        <w:szCs w:val="18"/>
      </w:rPr>
    </w:pPr>
    <w:r w:rsidRPr="00CD5C1E">
      <w:rPr>
        <w:i/>
        <w:iCs/>
        <w:sz w:val="18"/>
        <w:szCs w:val="18"/>
      </w:rPr>
      <w:t xml:space="preserve">Source: Cultural Funding by Government </w:t>
    </w:r>
    <w:r>
      <w:rPr>
        <w:i/>
        <w:iCs/>
        <w:noProof/>
        <w:sz w:val="18"/>
        <w:szCs w:val="18"/>
        <w:lang w:eastAsia="en-AU"/>
      </w:rPr>
      <w:t>202</w:t>
    </w:r>
    <w:r w:rsidR="003E7A34">
      <w:rPr>
        <w:i/>
        <w:iCs/>
        <w:noProof/>
        <w:sz w:val="18"/>
        <w:szCs w:val="18"/>
        <w:lang w:eastAsia="en-AU"/>
      </w:rPr>
      <w:t>3</w:t>
    </w:r>
    <w:r>
      <w:t>–</w:t>
    </w:r>
    <w:r>
      <w:rPr>
        <w:i/>
        <w:iCs/>
        <w:noProof/>
        <w:sz w:val="18"/>
        <w:szCs w:val="18"/>
        <w:lang w:eastAsia="en-AU"/>
      </w:rPr>
      <w:t>2</w:t>
    </w:r>
    <w:r w:rsidR="003E7A34">
      <w:rPr>
        <w:i/>
        <w:iCs/>
        <w:noProof/>
        <w:sz w:val="18"/>
        <w:szCs w:val="18"/>
        <w:lang w:eastAsia="en-AU"/>
      </w:rPr>
      <w:t>4</w:t>
    </w:r>
    <w:r>
      <w:rPr>
        <w:noProof/>
        <w:sz w:val="18"/>
        <w:szCs w:val="18"/>
        <w:lang w:eastAsia="en-AU"/>
      </w:rPr>
      <w:t xml:space="preserve"> </w:t>
    </w:r>
    <w:r w:rsidRPr="00CD5C1E">
      <w:rPr>
        <w:i/>
        <w:iCs/>
        <w:sz w:val="18"/>
        <w:szCs w:val="18"/>
      </w:rPr>
      <w:t>survey</w:t>
    </w:r>
  </w:p>
  <w:p w14:paraId="471F2EF6" w14:textId="0E44F1C9" w:rsidR="00FC0C98" w:rsidRPr="00477982" w:rsidRDefault="00DD4ACA" w:rsidP="00477982">
    <w:pPr>
      <w:pStyle w:val="Footer"/>
      <w:ind w:left="-1418"/>
      <w:rPr>
        <w:rStyle w:val="Hyperlink"/>
        <w:color w:val="auto"/>
        <w:u w:val="none"/>
      </w:rPr>
    </w:pPr>
    <w:r>
      <w:rPr>
        <w:noProof/>
        <w:lang w:eastAsia="en-AU"/>
      </w:rPr>
      <w:drawing>
        <wp:inline distT="0" distB="0" distL="0" distR="0" wp14:anchorId="05FC6D49" wp14:editId="5F8C6415">
          <wp:extent cx="9511794" cy="334010"/>
          <wp:effectExtent l="0" t="0" r="0" b="8890"/>
          <wp:docPr id="5" name="Picture 5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10076050" cy="3538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80252" w14:textId="77777777" w:rsidR="00B54081" w:rsidRDefault="00B54081" w:rsidP="002117E6">
      <w:pPr>
        <w:spacing w:after="0"/>
      </w:pPr>
      <w:r>
        <w:separator/>
      </w:r>
    </w:p>
  </w:footnote>
  <w:footnote w:type="continuationSeparator" w:id="0">
    <w:p w14:paraId="0E558D11" w14:textId="77777777" w:rsidR="00B54081" w:rsidRDefault="00B54081" w:rsidP="002117E6">
      <w:pPr>
        <w:spacing w:after="0"/>
      </w:pPr>
      <w:r>
        <w:continuationSeparator/>
      </w:r>
    </w:p>
  </w:footnote>
  <w:footnote w:id="1">
    <w:p w14:paraId="77AEBACA" w14:textId="5B9D8A92" w:rsidR="002A6551" w:rsidRPr="002A6551" w:rsidRDefault="002A6551">
      <w:pPr>
        <w:pStyle w:val="FootnoteText"/>
        <w:rPr>
          <w:sz w:val="17"/>
          <w:szCs w:val="17"/>
        </w:rPr>
      </w:pPr>
      <w:r w:rsidRPr="002A6551">
        <w:rPr>
          <w:rStyle w:val="FootnoteReference"/>
          <w:sz w:val="17"/>
          <w:szCs w:val="17"/>
        </w:rPr>
        <w:footnoteRef/>
      </w:r>
      <w:r w:rsidRPr="002A6551">
        <w:rPr>
          <w:sz w:val="17"/>
          <w:szCs w:val="17"/>
        </w:rPr>
        <w:t xml:space="preserve"> No survey was conducted for 2022</w:t>
      </w:r>
      <w:r w:rsidR="00B27940" w:rsidRPr="00B27940">
        <w:rPr>
          <w:sz w:val="17"/>
          <w:szCs w:val="17"/>
        </w:rPr>
        <w:t>–</w:t>
      </w:r>
      <w:r w:rsidRPr="002A6551">
        <w:rPr>
          <w:sz w:val="17"/>
          <w:szCs w:val="17"/>
        </w:rPr>
        <w:t>23 due to the move to a biennial collection cycle.</w:t>
      </w:r>
    </w:p>
  </w:footnote>
  <w:footnote w:id="2">
    <w:p w14:paraId="032E3CF7" w14:textId="77777777" w:rsidR="003E7A34" w:rsidRPr="00645A45" w:rsidRDefault="003E7A34" w:rsidP="00C14B8A">
      <w:pPr>
        <w:pStyle w:val="FootnoteText"/>
        <w:rPr>
          <w:sz w:val="17"/>
          <w:szCs w:val="17"/>
        </w:rPr>
      </w:pPr>
      <w:r w:rsidRPr="002A63D8">
        <w:rPr>
          <w:rStyle w:val="FootnoteReference"/>
          <w:sz w:val="18"/>
          <w:szCs w:val="18"/>
        </w:rPr>
        <w:footnoteRef/>
      </w:r>
      <w:r w:rsidRPr="002A63D8">
        <w:rPr>
          <w:sz w:val="18"/>
          <w:szCs w:val="18"/>
        </w:rPr>
        <w:t xml:space="preserve"> </w:t>
      </w:r>
      <w:r w:rsidRPr="00645A45">
        <w:rPr>
          <w:sz w:val="17"/>
          <w:szCs w:val="17"/>
        </w:rPr>
        <w:t>Includes $0.7m targeted cultural and creative sector COVID support funding, reported across categories and totals.</w:t>
      </w:r>
    </w:p>
  </w:footnote>
  <w:footnote w:id="3">
    <w:p w14:paraId="6BBEC02D" w14:textId="77777777" w:rsidR="003E7A34" w:rsidRPr="00991EBB" w:rsidRDefault="003E7A34" w:rsidP="00C14B8A">
      <w:pPr>
        <w:pStyle w:val="FootnoteText"/>
        <w:rPr>
          <w:sz w:val="18"/>
          <w:szCs w:val="18"/>
        </w:rPr>
      </w:pPr>
      <w:r w:rsidRPr="00645A45">
        <w:rPr>
          <w:rStyle w:val="FootnoteReference"/>
          <w:sz w:val="17"/>
          <w:szCs w:val="17"/>
        </w:rPr>
        <w:footnoteRef/>
      </w:r>
      <w:r w:rsidRPr="00645A45">
        <w:rPr>
          <w:sz w:val="17"/>
          <w:szCs w:val="17"/>
        </w:rPr>
        <w:t xml:space="preserve"> Includes $0.2m targeted cultural and creative sector COVID support funding, reported across categories and totals.</w:t>
      </w:r>
    </w:p>
  </w:footnote>
  <w:footnote w:id="4">
    <w:p w14:paraId="0D94B90A" w14:textId="7B51B008" w:rsidR="002A6551" w:rsidRPr="0098380A" w:rsidRDefault="002A6551" w:rsidP="00B27940">
      <w:pPr>
        <w:pStyle w:val="FootnoteText"/>
        <w:rPr>
          <w:i/>
          <w:iCs/>
          <w:sz w:val="17"/>
          <w:szCs w:val="17"/>
        </w:rPr>
      </w:pPr>
      <w:r w:rsidRPr="002A6551">
        <w:rPr>
          <w:rStyle w:val="FootnoteReference"/>
          <w:sz w:val="17"/>
          <w:szCs w:val="17"/>
        </w:rPr>
        <w:footnoteRef/>
      </w:r>
      <w:r w:rsidRPr="002A6551">
        <w:rPr>
          <w:sz w:val="17"/>
          <w:szCs w:val="17"/>
        </w:rPr>
        <w:t xml:space="preserve"> </w:t>
      </w:r>
      <w:r w:rsidRPr="002A6551">
        <w:rPr>
          <w:i/>
          <w:iCs/>
          <w:sz w:val="17"/>
          <w:szCs w:val="17"/>
        </w:rPr>
        <w:t>Other arts</w:t>
      </w:r>
      <w:r w:rsidRPr="002A6551">
        <w:rPr>
          <w:sz w:val="17"/>
          <w:szCs w:val="17"/>
        </w:rPr>
        <w:t xml:space="preserve"> </w:t>
      </w:r>
      <w:proofErr w:type="gramStart"/>
      <w:r w:rsidRPr="002A6551">
        <w:rPr>
          <w:sz w:val="17"/>
          <w:szCs w:val="17"/>
        </w:rPr>
        <w:t>is</w:t>
      </w:r>
      <w:proofErr w:type="gramEnd"/>
      <w:r w:rsidRPr="002A6551">
        <w:rPr>
          <w:sz w:val="17"/>
          <w:szCs w:val="17"/>
        </w:rPr>
        <w:t xml:space="preserve"> defined as </w:t>
      </w:r>
      <w:r w:rsidR="00B27940" w:rsidRPr="00B27940">
        <w:rPr>
          <w:i/>
          <w:iCs/>
          <w:sz w:val="17"/>
          <w:szCs w:val="17"/>
        </w:rPr>
        <w:t>Expenditure on the administration, maintenance, operation and construction of arts and</w:t>
      </w:r>
      <w:r w:rsidR="0098380A">
        <w:rPr>
          <w:i/>
          <w:iCs/>
          <w:sz w:val="17"/>
          <w:szCs w:val="17"/>
        </w:rPr>
        <w:t xml:space="preserve"> </w:t>
      </w:r>
      <w:r w:rsidR="00B27940" w:rsidRPr="00B27940">
        <w:rPr>
          <w:i/>
          <w:iCs/>
          <w:sz w:val="17"/>
          <w:szCs w:val="17"/>
        </w:rPr>
        <w:t>cultural activities/services that cannot be assigned to a preceding category</w:t>
      </w:r>
      <w:r w:rsidR="00B27940">
        <w:rPr>
          <w:sz w:val="17"/>
          <w:szCs w:val="17"/>
        </w:rPr>
        <w:t>.</w:t>
      </w:r>
    </w:p>
  </w:footnote>
  <w:footnote w:id="5">
    <w:p w14:paraId="3D5B2C08" w14:textId="3AB7AB7E" w:rsidR="002A6551" w:rsidRPr="002A6551" w:rsidRDefault="002A6551">
      <w:pPr>
        <w:pStyle w:val="FootnoteText"/>
        <w:rPr>
          <w:sz w:val="17"/>
          <w:szCs w:val="17"/>
        </w:rPr>
      </w:pPr>
      <w:r w:rsidRPr="002A6551">
        <w:rPr>
          <w:rStyle w:val="FootnoteReference"/>
          <w:sz w:val="17"/>
          <w:szCs w:val="17"/>
        </w:rPr>
        <w:footnoteRef/>
      </w:r>
      <w:r w:rsidRPr="002A6551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Value for </w:t>
      </w:r>
      <w:r w:rsidRPr="002A6551">
        <w:rPr>
          <w:sz w:val="17"/>
          <w:szCs w:val="17"/>
        </w:rPr>
        <w:t>Performing arts is an aggregate</w:t>
      </w:r>
      <w:r>
        <w:rPr>
          <w:sz w:val="17"/>
          <w:szCs w:val="17"/>
        </w:rPr>
        <w:t xml:space="preserve"> </w:t>
      </w:r>
      <w:r w:rsidRPr="002A6551">
        <w:rPr>
          <w:sz w:val="17"/>
          <w:szCs w:val="17"/>
        </w:rPr>
        <w:t xml:space="preserve">of the following categories: </w:t>
      </w:r>
      <w:r w:rsidRPr="002A6551">
        <w:rPr>
          <w:i/>
          <w:iCs/>
          <w:sz w:val="17"/>
          <w:szCs w:val="17"/>
        </w:rPr>
        <w:t>Music</w:t>
      </w:r>
      <w:r w:rsidRPr="002A6551">
        <w:rPr>
          <w:sz w:val="17"/>
          <w:szCs w:val="17"/>
        </w:rPr>
        <w:t xml:space="preserve">, </w:t>
      </w:r>
      <w:r w:rsidRPr="002A6551">
        <w:rPr>
          <w:i/>
          <w:iCs/>
          <w:sz w:val="17"/>
          <w:szCs w:val="17"/>
        </w:rPr>
        <w:t>Theatre</w:t>
      </w:r>
      <w:r w:rsidRPr="002A6551">
        <w:rPr>
          <w:sz w:val="17"/>
          <w:szCs w:val="17"/>
        </w:rPr>
        <w:t xml:space="preserve">, </w:t>
      </w:r>
      <w:r w:rsidR="0098380A" w:rsidRPr="0098380A">
        <w:rPr>
          <w:i/>
          <w:iCs/>
          <w:sz w:val="17"/>
          <w:szCs w:val="17"/>
        </w:rPr>
        <w:t>Dance</w:t>
      </w:r>
      <w:r w:rsidR="0098380A">
        <w:rPr>
          <w:sz w:val="17"/>
          <w:szCs w:val="17"/>
        </w:rPr>
        <w:t xml:space="preserve">, </w:t>
      </w:r>
      <w:r w:rsidRPr="002A6551">
        <w:rPr>
          <w:i/>
          <w:iCs/>
          <w:sz w:val="17"/>
          <w:szCs w:val="17"/>
        </w:rPr>
        <w:t>Music theatre and opera</w:t>
      </w:r>
      <w:r w:rsidRPr="002A6551">
        <w:rPr>
          <w:sz w:val="17"/>
          <w:szCs w:val="17"/>
        </w:rPr>
        <w:t xml:space="preserve">, </w:t>
      </w:r>
      <w:r w:rsidRPr="002A6551">
        <w:rPr>
          <w:i/>
          <w:iCs/>
          <w:sz w:val="17"/>
          <w:szCs w:val="17"/>
        </w:rPr>
        <w:t>Circus and physical</w:t>
      </w:r>
      <w:r w:rsidR="0098380A">
        <w:rPr>
          <w:i/>
          <w:iCs/>
          <w:sz w:val="17"/>
          <w:szCs w:val="17"/>
        </w:rPr>
        <w:t xml:space="preserve"> </w:t>
      </w:r>
      <w:r w:rsidRPr="002A6551">
        <w:rPr>
          <w:i/>
          <w:iCs/>
          <w:sz w:val="17"/>
          <w:szCs w:val="17"/>
        </w:rPr>
        <w:t>theatre</w:t>
      </w:r>
      <w:r>
        <w:rPr>
          <w:sz w:val="17"/>
          <w:szCs w:val="17"/>
        </w:rPr>
        <w:t xml:space="preserve">, </w:t>
      </w:r>
      <w:r w:rsidRPr="002A6551">
        <w:rPr>
          <w:i/>
          <w:iCs/>
          <w:sz w:val="17"/>
          <w:szCs w:val="17"/>
        </w:rPr>
        <w:t>Comedy</w:t>
      </w:r>
      <w:r>
        <w:rPr>
          <w:sz w:val="17"/>
          <w:szCs w:val="17"/>
        </w:rPr>
        <w:t xml:space="preserve">, </w:t>
      </w:r>
      <w:r w:rsidRPr="002A6551">
        <w:rPr>
          <w:i/>
          <w:iCs/>
          <w:sz w:val="17"/>
          <w:szCs w:val="17"/>
        </w:rPr>
        <w:t>Other performing arts</w:t>
      </w:r>
      <w:r>
        <w:rPr>
          <w:sz w:val="17"/>
          <w:szCs w:val="17"/>
        </w:rPr>
        <w:t xml:space="preserve">, and </w:t>
      </w:r>
      <w:r w:rsidRPr="002A6551">
        <w:rPr>
          <w:i/>
          <w:iCs/>
          <w:sz w:val="17"/>
          <w:szCs w:val="17"/>
        </w:rPr>
        <w:t>Performing arts venues</w:t>
      </w:r>
      <w:r>
        <w:rPr>
          <w:sz w:val="17"/>
          <w:szCs w:val="17"/>
        </w:rPr>
        <w:t>.</w:t>
      </w:r>
    </w:p>
  </w:footnote>
  <w:footnote w:id="6">
    <w:p w14:paraId="38204663" w14:textId="2CC2F5C2" w:rsidR="002A6551" w:rsidRPr="002A6551" w:rsidRDefault="002A6551">
      <w:pPr>
        <w:pStyle w:val="FootnoteText"/>
        <w:rPr>
          <w:sz w:val="17"/>
          <w:szCs w:val="17"/>
        </w:rPr>
      </w:pPr>
      <w:r w:rsidRPr="002A6551">
        <w:rPr>
          <w:rStyle w:val="FootnoteReference"/>
          <w:sz w:val="17"/>
          <w:szCs w:val="17"/>
        </w:rPr>
        <w:footnoteRef/>
      </w:r>
      <w:r w:rsidRPr="002A6551">
        <w:rPr>
          <w:sz w:val="17"/>
          <w:szCs w:val="17"/>
        </w:rPr>
        <w:t xml:space="preserve"> Value for Visual arts, crafts &amp; design is an aggregate of the following categories: </w:t>
      </w:r>
      <w:r w:rsidRPr="002A6551">
        <w:rPr>
          <w:i/>
          <w:iCs/>
          <w:sz w:val="17"/>
          <w:szCs w:val="17"/>
        </w:rPr>
        <w:t>Visual arts and crafts</w:t>
      </w:r>
      <w:r w:rsidRPr="002A6551">
        <w:rPr>
          <w:sz w:val="17"/>
          <w:szCs w:val="17"/>
        </w:rPr>
        <w:t xml:space="preserve"> and </w:t>
      </w:r>
      <w:r w:rsidRPr="002A6551">
        <w:rPr>
          <w:i/>
          <w:iCs/>
          <w:sz w:val="17"/>
          <w:szCs w:val="17"/>
        </w:rPr>
        <w:t>Design</w:t>
      </w:r>
      <w:r w:rsidRPr="002A6551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E276" w14:textId="577F57E8" w:rsidR="00501008" w:rsidRDefault="005010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5C54FE" wp14:editId="66F62A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254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1CA3" w14:textId="7EB35F45" w:rsidR="00501008" w:rsidRPr="00501008" w:rsidRDefault="0050100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0100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C54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aEb8cFsCAACbBAAADgAAAAAAAAAAAAAAAAAuAgAAZHJzL2Uyb0RvYy54bWxQSwECLQAU&#10;AAYACAAAACEAhLDTKNYAAAADAQAADwAAAAAAAAAAAAAAAAC1BAAAZHJzL2Rvd25yZXYueG1sUEsF&#10;BgAAAAAEAAQA8wAAALgFAAAAAA==&#10;" filled="f" stroked="f">
              <v:textbox style="mso-fit-shape-to-text:t" inset="0,0,0,0">
                <w:txbxContent>
                  <w:p w14:paraId="2F0C1CA3" w14:textId="7EB35F45" w:rsidR="00501008" w:rsidRPr="00501008" w:rsidRDefault="00501008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0100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BF70" w14:textId="595AB5F4" w:rsidR="00FC0C98" w:rsidRDefault="00FC0C98" w:rsidP="00477982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33197DE3" wp14:editId="08034230">
          <wp:extent cx="7560000" cy="544479"/>
          <wp:effectExtent l="0" t="0" r="3175" b="8255"/>
          <wp:docPr id="6" name="Picture 6" descr="Purple Border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" t="19214" r="1857"/>
                  <a:stretch/>
                </pic:blipFill>
                <pic:spPr bwMode="auto">
                  <a:xfrm>
                    <a:off x="0" y="0"/>
                    <a:ext cx="7560000" cy="544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05254B" w14:textId="15435EC0" w:rsidR="00FC0C98" w:rsidRDefault="00CD5C1E" w:rsidP="00A0554C">
    <w:pPr>
      <w:pStyle w:val="Header"/>
      <w:tabs>
        <w:tab w:val="clear" w:pos="9026"/>
        <w:tab w:val="right" w:pos="9333"/>
      </w:tabs>
    </w:pPr>
    <w:r>
      <w:t xml:space="preserve">Cultural and Creative </w:t>
    </w:r>
    <w:r w:rsidR="0070126E" w:rsidRPr="00CD5C1E">
      <w:t>Statistics Working Group</w:t>
    </w:r>
    <w:r w:rsidR="00FC0C98" w:rsidRPr="00A96536">
      <w:tab/>
    </w:r>
    <w:r w:rsidR="00FC0C98" w:rsidRPr="00A96536">
      <w:tab/>
    </w:r>
    <w:r w:rsidR="00811D7E">
      <w:t>September</w:t>
    </w:r>
    <w:r w:rsidR="003E7A34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D9E"/>
    <w:multiLevelType w:val="hybridMultilevel"/>
    <w:tmpl w:val="7900756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613"/>
    <w:multiLevelType w:val="hybridMultilevel"/>
    <w:tmpl w:val="2B48B512"/>
    <w:lvl w:ilvl="0" w:tplc="69AC7252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C6A73"/>
    <w:multiLevelType w:val="hybridMultilevel"/>
    <w:tmpl w:val="528A0C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508A"/>
    <w:multiLevelType w:val="hybridMultilevel"/>
    <w:tmpl w:val="F3CA44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E015F"/>
    <w:multiLevelType w:val="hybridMultilevel"/>
    <w:tmpl w:val="04A444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71EE"/>
    <w:multiLevelType w:val="hybridMultilevel"/>
    <w:tmpl w:val="2A56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0DB8"/>
    <w:multiLevelType w:val="hybridMultilevel"/>
    <w:tmpl w:val="E9FAD8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7139D"/>
    <w:multiLevelType w:val="hybridMultilevel"/>
    <w:tmpl w:val="5B38CF7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56FEB"/>
    <w:multiLevelType w:val="hybridMultilevel"/>
    <w:tmpl w:val="B3FA1AD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1F26"/>
    <w:multiLevelType w:val="hybridMultilevel"/>
    <w:tmpl w:val="1A685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3E"/>
    <w:rsid w:val="00004139"/>
    <w:rsid w:val="00024E6D"/>
    <w:rsid w:val="00024EAC"/>
    <w:rsid w:val="00042DEF"/>
    <w:rsid w:val="00066DCE"/>
    <w:rsid w:val="000764AC"/>
    <w:rsid w:val="000B27A8"/>
    <w:rsid w:val="000D24A0"/>
    <w:rsid w:val="0010452B"/>
    <w:rsid w:val="00111A64"/>
    <w:rsid w:val="00124E33"/>
    <w:rsid w:val="001471EA"/>
    <w:rsid w:val="001472FC"/>
    <w:rsid w:val="001715EF"/>
    <w:rsid w:val="001736CC"/>
    <w:rsid w:val="00185E9F"/>
    <w:rsid w:val="0019701B"/>
    <w:rsid w:val="001C4A7A"/>
    <w:rsid w:val="001C7827"/>
    <w:rsid w:val="001D64AC"/>
    <w:rsid w:val="001D7905"/>
    <w:rsid w:val="002008E0"/>
    <w:rsid w:val="002039E2"/>
    <w:rsid w:val="002117E6"/>
    <w:rsid w:val="0023201F"/>
    <w:rsid w:val="00233C13"/>
    <w:rsid w:val="00234C00"/>
    <w:rsid w:val="002352F9"/>
    <w:rsid w:val="0024033A"/>
    <w:rsid w:val="00242B78"/>
    <w:rsid w:val="002439A9"/>
    <w:rsid w:val="002454AC"/>
    <w:rsid w:val="00265D2E"/>
    <w:rsid w:val="002751A4"/>
    <w:rsid w:val="00280E4C"/>
    <w:rsid w:val="00290FEC"/>
    <w:rsid w:val="00293DD6"/>
    <w:rsid w:val="002966CA"/>
    <w:rsid w:val="002A3B4B"/>
    <w:rsid w:val="002A4338"/>
    <w:rsid w:val="002A503C"/>
    <w:rsid w:val="002A6551"/>
    <w:rsid w:val="002A7373"/>
    <w:rsid w:val="002B01D6"/>
    <w:rsid w:val="002B313F"/>
    <w:rsid w:val="002C23FD"/>
    <w:rsid w:val="002C522C"/>
    <w:rsid w:val="002C5369"/>
    <w:rsid w:val="002D5ADF"/>
    <w:rsid w:val="002E2477"/>
    <w:rsid w:val="002E46A4"/>
    <w:rsid w:val="002E5402"/>
    <w:rsid w:val="002F0402"/>
    <w:rsid w:val="002F3895"/>
    <w:rsid w:val="00302513"/>
    <w:rsid w:val="00303786"/>
    <w:rsid w:val="00306042"/>
    <w:rsid w:val="00320201"/>
    <w:rsid w:val="00327F06"/>
    <w:rsid w:val="00335334"/>
    <w:rsid w:val="0033624D"/>
    <w:rsid w:val="00336DDD"/>
    <w:rsid w:val="0034581A"/>
    <w:rsid w:val="003502F6"/>
    <w:rsid w:val="003513EE"/>
    <w:rsid w:val="00363704"/>
    <w:rsid w:val="00376808"/>
    <w:rsid w:val="00380290"/>
    <w:rsid w:val="00381364"/>
    <w:rsid w:val="00382743"/>
    <w:rsid w:val="003828A8"/>
    <w:rsid w:val="00391ACF"/>
    <w:rsid w:val="0039367A"/>
    <w:rsid w:val="003A015E"/>
    <w:rsid w:val="003B5B1D"/>
    <w:rsid w:val="003C73DB"/>
    <w:rsid w:val="003D142F"/>
    <w:rsid w:val="003E78EF"/>
    <w:rsid w:val="003E7A34"/>
    <w:rsid w:val="003F495D"/>
    <w:rsid w:val="00400E77"/>
    <w:rsid w:val="0040140C"/>
    <w:rsid w:val="0041185C"/>
    <w:rsid w:val="00420E56"/>
    <w:rsid w:val="00423090"/>
    <w:rsid w:val="00426F0B"/>
    <w:rsid w:val="00433E7A"/>
    <w:rsid w:val="00436F4C"/>
    <w:rsid w:val="004470D0"/>
    <w:rsid w:val="00450D6E"/>
    <w:rsid w:val="0045224C"/>
    <w:rsid w:val="00456F44"/>
    <w:rsid w:val="00467552"/>
    <w:rsid w:val="004755A2"/>
    <w:rsid w:val="00477982"/>
    <w:rsid w:val="004819E5"/>
    <w:rsid w:val="0048626B"/>
    <w:rsid w:val="0048644E"/>
    <w:rsid w:val="004D0B6D"/>
    <w:rsid w:val="004E59C7"/>
    <w:rsid w:val="004F0944"/>
    <w:rsid w:val="004F0ADA"/>
    <w:rsid w:val="00501008"/>
    <w:rsid w:val="00506643"/>
    <w:rsid w:val="00514C96"/>
    <w:rsid w:val="00526687"/>
    <w:rsid w:val="005377F7"/>
    <w:rsid w:val="00542695"/>
    <w:rsid w:val="00544465"/>
    <w:rsid w:val="005579A8"/>
    <w:rsid w:val="00561190"/>
    <w:rsid w:val="005658F1"/>
    <w:rsid w:val="00565B47"/>
    <w:rsid w:val="005741CF"/>
    <w:rsid w:val="00575A5A"/>
    <w:rsid w:val="00580009"/>
    <w:rsid w:val="005932D0"/>
    <w:rsid w:val="005960EF"/>
    <w:rsid w:val="00597F9B"/>
    <w:rsid w:val="005A524B"/>
    <w:rsid w:val="005B3551"/>
    <w:rsid w:val="005C05D7"/>
    <w:rsid w:val="005C6B76"/>
    <w:rsid w:val="005C7C65"/>
    <w:rsid w:val="005D0EDC"/>
    <w:rsid w:val="005D5319"/>
    <w:rsid w:val="005E4F35"/>
    <w:rsid w:val="005F23E0"/>
    <w:rsid w:val="005F782A"/>
    <w:rsid w:val="00605481"/>
    <w:rsid w:val="0061446D"/>
    <w:rsid w:val="00625397"/>
    <w:rsid w:val="0064138E"/>
    <w:rsid w:val="00645A45"/>
    <w:rsid w:val="00664077"/>
    <w:rsid w:val="00666675"/>
    <w:rsid w:val="0068267D"/>
    <w:rsid w:val="00693994"/>
    <w:rsid w:val="006970A6"/>
    <w:rsid w:val="006A08AD"/>
    <w:rsid w:val="006A2F0E"/>
    <w:rsid w:val="006A5A29"/>
    <w:rsid w:val="006B5B9E"/>
    <w:rsid w:val="006B6622"/>
    <w:rsid w:val="006C08EE"/>
    <w:rsid w:val="006C5A9D"/>
    <w:rsid w:val="006D0316"/>
    <w:rsid w:val="006E63DC"/>
    <w:rsid w:val="006F06FD"/>
    <w:rsid w:val="0070126E"/>
    <w:rsid w:val="00705B86"/>
    <w:rsid w:val="00705FA6"/>
    <w:rsid w:val="00711226"/>
    <w:rsid w:val="007260A2"/>
    <w:rsid w:val="007316EF"/>
    <w:rsid w:val="0074751D"/>
    <w:rsid w:val="00751434"/>
    <w:rsid w:val="00753BB6"/>
    <w:rsid w:val="007734DC"/>
    <w:rsid w:val="00784F67"/>
    <w:rsid w:val="007A4B0F"/>
    <w:rsid w:val="007A5DD1"/>
    <w:rsid w:val="007A6716"/>
    <w:rsid w:val="007B393E"/>
    <w:rsid w:val="00811D7E"/>
    <w:rsid w:val="00813AD2"/>
    <w:rsid w:val="0081618E"/>
    <w:rsid w:val="008169A6"/>
    <w:rsid w:val="0082186E"/>
    <w:rsid w:val="008228E2"/>
    <w:rsid w:val="008234B4"/>
    <w:rsid w:val="008262C7"/>
    <w:rsid w:val="00832916"/>
    <w:rsid w:val="00834DE8"/>
    <w:rsid w:val="00834E23"/>
    <w:rsid w:val="00842CA0"/>
    <w:rsid w:val="00853BD6"/>
    <w:rsid w:val="00860C86"/>
    <w:rsid w:val="008646E6"/>
    <w:rsid w:val="00866475"/>
    <w:rsid w:val="00867254"/>
    <w:rsid w:val="00890259"/>
    <w:rsid w:val="00893360"/>
    <w:rsid w:val="0089544D"/>
    <w:rsid w:val="008A4B1F"/>
    <w:rsid w:val="008A5994"/>
    <w:rsid w:val="008A6B41"/>
    <w:rsid w:val="008B2A19"/>
    <w:rsid w:val="008B767F"/>
    <w:rsid w:val="008C0B20"/>
    <w:rsid w:val="008C4DD5"/>
    <w:rsid w:val="008D328C"/>
    <w:rsid w:val="008D4E53"/>
    <w:rsid w:val="008D6FFE"/>
    <w:rsid w:val="008E2C94"/>
    <w:rsid w:val="008F36D0"/>
    <w:rsid w:val="008F3C85"/>
    <w:rsid w:val="008F7FA4"/>
    <w:rsid w:val="009114FF"/>
    <w:rsid w:val="00912280"/>
    <w:rsid w:val="00927FF3"/>
    <w:rsid w:val="009313D2"/>
    <w:rsid w:val="00937283"/>
    <w:rsid w:val="0094124E"/>
    <w:rsid w:val="009500E9"/>
    <w:rsid w:val="00957422"/>
    <w:rsid w:val="00961C5C"/>
    <w:rsid w:val="009654E0"/>
    <w:rsid w:val="00966C24"/>
    <w:rsid w:val="009701FC"/>
    <w:rsid w:val="0098380A"/>
    <w:rsid w:val="0099331E"/>
    <w:rsid w:val="009A2700"/>
    <w:rsid w:val="009B3B88"/>
    <w:rsid w:val="009B74C6"/>
    <w:rsid w:val="009B7EF0"/>
    <w:rsid w:val="009C01D1"/>
    <w:rsid w:val="009C08EC"/>
    <w:rsid w:val="009C47F7"/>
    <w:rsid w:val="009C627D"/>
    <w:rsid w:val="009D0D57"/>
    <w:rsid w:val="009E12E4"/>
    <w:rsid w:val="00A0033F"/>
    <w:rsid w:val="00A0554C"/>
    <w:rsid w:val="00A06663"/>
    <w:rsid w:val="00A13C75"/>
    <w:rsid w:val="00A150F0"/>
    <w:rsid w:val="00A22246"/>
    <w:rsid w:val="00A241FE"/>
    <w:rsid w:val="00A35CD0"/>
    <w:rsid w:val="00A44D6C"/>
    <w:rsid w:val="00A46FC1"/>
    <w:rsid w:val="00A57B08"/>
    <w:rsid w:val="00A606B1"/>
    <w:rsid w:val="00A66771"/>
    <w:rsid w:val="00A76AFC"/>
    <w:rsid w:val="00A811A0"/>
    <w:rsid w:val="00A830DE"/>
    <w:rsid w:val="00A87F54"/>
    <w:rsid w:val="00A91A72"/>
    <w:rsid w:val="00AA38E6"/>
    <w:rsid w:val="00AA4F96"/>
    <w:rsid w:val="00AA70C7"/>
    <w:rsid w:val="00AB0B03"/>
    <w:rsid w:val="00AC09C1"/>
    <w:rsid w:val="00AC0B64"/>
    <w:rsid w:val="00AC1A69"/>
    <w:rsid w:val="00AD6C2D"/>
    <w:rsid w:val="00AE4F02"/>
    <w:rsid w:val="00AF5FC0"/>
    <w:rsid w:val="00B049A4"/>
    <w:rsid w:val="00B04E5C"/>
    <w:rsid w:val="00B1045C"/>
    <w:rsid w:val="00B27940"/>
    <w:rsid w:val="00B32DA1"/>
    <w:rsid w:val="00B41B6C"/>
    <w:rsid w:val="00B43B95"/>
    <w:rsid w:val="00B43C56"/>
    <w:rsid w:val="00B54081"/>
    <w:rsid w:val="00B55747"/>
    <w:rsid w:val="00B606EE"/>
    <w:rsid w:val="00B704AE"/>
    <w:rsid w:val="00B723E4"/>
    <w:rsid w:val="00B93737"/>
    <w:rsid w:val="00B93E30"/>
    <w:rsid w:val="00B945EA"/>
    <w:rsid w:val="00B96893"/>
    <w:rsid w:val="00BA0A5A"/>
    <w:rsid w:val="00BB0270"/>
    <w:rsid w:val="00BC0D30"/>
    <w:rsid w:val="00BC329E"/>
    <w:rsid w:val="00BC4BB1"/>
    <w:rsid w:val="00BC7D72"/>
    <w:rsid w:val="00BE1F34"/>
    <w:rsid w:val="00BE717D"/>
    <w:rsid w:val="00BE7E66"/>
    <w:rsid w:val="00C148B7"/>
    <w:rsid w:val="00C14B8A"/>
    <w:rsid w:val="00C16794"/>
    <w:rsid w:val="00C240E2"/>
    <w:rsid w:val="00C30956"/>
    <w:rsid w:val="00C32166"/>
    <w:rsid w:val="00C3695F"/>
    <w:rsid w:val="00C40292"/>
    <w:rsid w:val="00C451EE"/>
    <w:rsid w:val="00C55F55"/>
    <w:rsid w:val="00C72221"/>
    <w:rsid w:val="00CC4247"/>
    <w:rsid w:val="00CC75CC"/>
    <w:rsid w:val="00CD0CB6"/>
    <w:rsid w:val="00CD5C1E"/>
    <w:rsid w:val="00CE07F2"/>
    <w:rsid w:val="00CE5C90"/>
    <w:rsid w:val="00CF24C6"/>
    <w:rsid w:val="00D03AE2"/>
    <w:rsid w:val="00D14C03"/>
    <w:rsid w:val="00D44042"/>
    <w:rsid w:val="00D47936"/>
    <w:rsid w:val="00D521E7"/>
    <w:rsid w:val="00D53AAD"/>
    <w:rsid w:val="00D746E5"/>
    <w:rsid w:val="00D86CAA"/>
    <w:rsid w:val="00D92957"/>
    <w:rsid w:val="00DA2630"/>
    <w:rsid w:val="00DA2668"/>
    <w:rsid w:val="00DB4FA3"/>
    <w:rsid w:val="00DB7840"/>
    <w:rsid w:val="00DC17B6"/>
    <w:rsid w:val="00DC2DFA"/>
    <w:rsid w:val="00DC6A98"/>
    <w:rsid w:val="00DD4ACA"/>
    <w:rsid w:val="00DD5D52"/>
    <w:rsid w:val="00DF08EE"/>
    <w:rsid w:val="00E03DF5"/>
    <w:rsid w:val="00E06D3D"/>
    <w:rsid w:val="00E12592"/>
    <w:rsid w:val="00E23218"/>
    <w:rsid w:val="00E369B7"/>
    <w:rsid w:val="00E42F9F"/>
    <w:rsid w:val="00E51D5C"/>
    <w:rsid w:val="00E71039"/>
    <w:rsid w:val="00E72E2C"/>
    <w:rsid w:val="00E76886"/>
    <w:rsid w:val="00E819BF"/>
    <w:rsid w:val="00E85276"/>
    <w:rsid w:val="00E92EB5"/>
    <w:rsid w:val="00E97404"/>
    <w:rsid w:val="00EA168C"/>
    <w:rsid w:val="00EA2F26"/>
    <w:rsid w:val="00EA5BA4"/>
    <w:rsid w:val="00EA6D34"/>
    <w:rsid w:val="00EB2689"/>
    <w:rsid w:val="00EB270F"/>
    <w:rsid w:val="00EB40A5"/>
    <w:rsid w:val="00EB63C5"/>
    <w:rsid w:val="00EE5043"/>
    <w:rsid w:val="00EE7759"/>
    <w:rsid w:val="00EF07FC"/>
    <w:rsid w:val="00EF213E"/>
    <w:rsid w:val="00EF2581"/>
    <w:rsid w:val="00EF61B4"/>
    <w:rsid w:val="00F02CC1"/>
    <w:rsid w:val="00F239E3"/>
    <w:rsid w:val="00F242E6"/>
    <w:rsid w:val="00F3567E"/>
    <w:rsid w:val="00F408EE"/>
    <w:rsid w:val="00F56262"/>
    <w:rsid w:val="00F656FB"/>
    <w:rsid w:val="00F6646D"/>
    <w:rsid w:val="00F67604"/>
    <w:rsid w:val="00F701E3"/>
    <w:rsid w:val="00F7051B"/>
    <w:rsid w:val="00F75A3D"/>
    <w:rsid w:val="00F81745"/>
    <w:rsid w:val="00F86DEA"/>
    <w:rsid w:val="00F9394E"/>
    <w:rsid w:val="00F9793C"/>
    <w:rsid w:val="00FA0CF0"/>
    <w:rsid w:val="00FC0C98"/>
    <w:rsid w:val="00FC16F3"/>
    <w:rsid w:val="00FC2CDB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17295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52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A98"/>
    <w:pPr>
      <w:keepNext/>
      <w:spacing w:before="360" w:after="240"/>
      <w:outlineLvl w:val="0"/>
    </w:pPr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B78"/>
    <w:pPr>
      <w:keepNext/>
      <w:outlineLvl w:val="1"/>
    </w:pPr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B78"/>
    <w:pPr>
      <w:keepNext/>
      <w:spacing w:after="120"/>
      <w:outlineLvl w:val="2"/>
    </w:pPr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78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78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554B8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B78"/>
    <w:pPr>
      <w:keepNext/>
      <w:keepLines/>
      <w:spacing w:after="60"/>
      <w:outlineLvl w:val="5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2B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2B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2B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98"/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42B78"/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2B78"/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6262"/>
    <w:rPr>
      <w:b/>
      <w:color w:val="554B87"/>
      <w:u w:val="single"/>
    </w:rPr>
  </w:style>
  <w:style w:type="paragraph" w:customStyle="1" w:styleId="Bulletlevel1">
    <w:name w:val="Bullet level 1"/>
    <w:basedOn w:val="Normal"/>
    <w:qFormat/>
    <w:rsid w:val="002117E6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67552"/>
    <w:pPr>
      <w:ind w:left="567"/>
    </w:pPr>
    <w:rPr>
      <w:rFonts w:eastAsiaTheme="minorHAnsi"/>
      <w:b/>
      <w:i/>
      <w:iCs/>
      <w:color w:val="554B87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67552"/>
    <w:rPr>
      <w:rFonts w:eastAsiaTheme="minorHAnsi"/>
      <w:b/>
      <w:i/>
      <w:iCs/>
      <w:color w:val="554B87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7E6"/>
  </w:style>
  <w:style w:type="paragraph" w:styleId="Footer">
    <w:name w:val="footer"/>
    <w:basedOn w:val="Normal"/>
    <w:link w:val="Foot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7E6"/>
  </w:style>
  <w:style w:type="character" w:customStyle="1" w:styleId="Heading4Char">
    <w:name w:val="Heading 4 Char"/>
    <w:basedOn w:val="DefaultParagraphFont"/>
    <w:link w:val="Heading4"/>
    <w:uiPriority w:val="9"/>
    <w:rsid w:val="00242B78"/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2B78"/>
    <w:rPr>
      <w:rFonts w:asciiTheme="majorHAnsi" w:eastAsiaTheme="majorEastAsia" w:hAnsiTheme="majorHAnsi" w:cstheme="majorBidi"/>
      <w:b/>
      <w:color w:val="554B87"/>
    </w:rPr>
  </w:style>
  <w:style w:type="table" w:styleId="TableGrid">
    <w:name w:val="Table Grid"/>
    <w:basedOn w:val="TableNormal"/>
    <w:uiPriority w:val="39"/>
    <w:rsid w:val="002117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8B767F"/>
    <w:pPr>
      <w:keepNext/>
      <w:spacing w:after="0"/>
    </w:pPr>
    <w:rPr>
      <w:rFonts w:asciiTheme="majorHAnsi" w:eastAsiaTheme="minorHAnsi" w:hAnsiTheme="majorHAnsi"/>
      <w:b/>
      <w:color w:val="554B87"/>
      <w:lang w:eastAsia="en-US"/>
    </w:rPr>
  </w:style>
  <w:style w:type="paragraph" w:customStyle="1" w:styleId="Tabletextcentred">
    <w:name w:val="Table text centred"/>
    <w:basedOn w:val="Normal"/>
    <w:next w:val="NoSpacing"/>
    <w:rsid w:val="002117E6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2117E6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2117E6"/>
    <w:pPr>
      <w:jc w:val="left"/>
    </w:pPr>
  </w:style>
  <w:style w:type="paragraph" w:styleId="NoSpacing">
    <w:name w:val="No Spacing"/>
    <w:uiPriority w:val="1"/>
    <w:qFormat/>
    <w:rsid w:val="002117E6"/>
    <w:pPr>
      <w:spacing w:after="0" w:line="240" w:lineRule="auto"/>
    </w:pPr>
  </w:style>
  <w:style w:type="paragraph" w:customStyle="1" w:styleId="Tablerowcolumnheading">
    <w:name w:val="Table row/column heading"/>
    <w:basedOn w:val="Normal"/>
    <w:next w:val="Normal"/>
    <w:rsid w:val="002117E6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level1"/>
    <w:qFormat/>
    <w:rsid w:val="002117E6"/>
    <w:pPr>
      <w:numPr>
        <w:numId w:val="2"/>
      </w:numPr>
      <w:spacing w:after="0"/>
      <w:ind w:left="567" w:hanging="567"/>
    </w:pPr>
  </w:style>
  <w:style w:type="character" w:customStyle="1" w:styleId="Heading6Char">
    <w:name w:val="Heading 6 Char"/>
    <w:basedOn w:val="DefaultParagraphFont"/>
    <w:link w:val="Heading6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7Char">
    <w:name w:val="Heading 7 Char"/>
    <w:basedOn w:val="DefaultParagraphFont"/>
    <w:link w:val="Heading7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8Char">
    <w:name w:val="Heading 8 Char"/>
    <w:basedOn w:val="DefaultParagraphFont"/>
    <w:link w:val="Heading8"/>
    <w:uiPriority w:val="9"/>
    <w:rsid w:val="00242B78"/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42B78"/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styleId="PlaceholderText">
    <w:name w:val="Placeholder Text"/>
    <w:basedOn w:val="DefaultParagraphFont"/>
    <w:uiPriority w:val="99"/>
    <w:semiHidden/>
    <w:rsid w:val="006413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7EF0"/>
    <w:rPr>
      <w:color w:val="15558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24E"/>
    <w:rPr>
      <w:color w:val="808080"/>
      <w:shd w:val="clear" w:color="auto" w:fill="E6E6E6"/>
    </w:rPr>
  </w:style>
  <w:style w:type="paragraph" w:customStyle="1" w:styleId="Heading2-notshowing">
    <w:name w:val="Heading 2 - not showing"/>
    <w:basedOn w:val="Heading2"/>
    <w:qFormat/>
    <w:rsid w:val="00D03AE2"/>
    <w:pPr>
      <w:spacing w:after="120"/>
    </w:pPr>
    <w:rPr>
      <w:sz w:val="32"/>
    </w:rPr>
  </w:style>
  <w:style w:type="paragraph" w:customStyle="1" w:styleId="Heading3-notshowing">
    <w:name w:val="Heading 3 - not showing"/>
    <w:basedOn w:val="Heading3"/>
    <w:qFormat/>
    <w:rsid w:val="00D03AE2"/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4755A2"/>
    <w:pPr>
      <w:tabs>
        <w:tab w:val="right" w:leader="dot" w:pos="9072"/>
      </w:tabs>
      <w:spacing w:before="120" w:after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1134"/>
    </w:pPr>
  </w:style>
  <w:style w:type="paragraph" w:styleId="TOC4">
    <w:name w:val="toc 4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</w:pPr>
  </w:style>
  <w:style w:type="paragraph" w:customStyle="1" w:styleId="Sourcenote">
    <w:name w:val="Source / note"/>
    <w:basedOn w:val="Normal"/>
    <w:next w:val="Normal"/>
    <w:qFormat/>
    <w:rsid w:val="00C167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6794"/>
    <w:pPr>
      <w:numPr>
        <w:numId w:val="3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B1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B1D"/>
    <w:rPr>
      <w:vertAlign w:val="superscript"/>
    </w:rPr>
  </w:style>
  <w:style w:type="character" w:customStyle="1" w:styleId="superscriptfootnotereference">
    <w:name w:val="superscript footnote reference"/>
    <w:basedOn w:val="FootnoteReference"/>
    <w:uiPriority w:val="1"/>
    <w:qFormat/>
    <w:rsid w:val="003B5B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1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701A.460DF4D0" TargetMode="External"/><Relationship Id="rId14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minsrvad.sa.gov.au\DfsRoot\DataDPC\ArtsSA\ABS\Cultural%20Funding%20Collections\2023-24\Publication\Working\7%20-%20NT\NT-analysis-23-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minsrvad.sa.gov.au\DfsRoot\DataDPC\ArtsSA\ABS\Cultural%20Funding%20Collections\2023-24\Publication\Working\7%20-%20NT\NT-analysis-23-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minsrvad.sa.gov.au\DfsRoot\DataDPC\ArtsSA\ABS\Cultural%20Funding%20Collections\2023-24\Publication\Working\7%20-%20NT\NT-analysis-23-24%20update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488582131117108E-2"/>
          <c:y val="0.11547344110854503"/>
          <c:w val="0.90299824172463883"/>
          <c:h val="0.72721281664272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Working!$B$39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Working!$A$40:$A$43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Working!$B$40:$B$43</c:f>
              <c:numCache>
                <c:formatCode>#,##0.0</c:formatCode>
                <c:ptCount val="4"/>
                <c:pt idx="0">
                  <c:v>19.399999999999999</c:v>
                </c:pt>
                <c:pt idx="1">
                  <c:v>6.1</c:v>
                </c:pt>
                <c:pt idx="2">
                  <c:v>11.6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4D-43B6-B7DE-3292D43AA775}"/>
            </c:ext>
          </c:extLst>
        </c:ser>
        <c:ser>
          <c:idx val="1"/>
          <c:order val="1"/>
          <c:tx>
            <c:strRef>
              <c:f>Working!$C$39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Working!$A$40:$A$43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Working!$C$40:$C$43</c:f>
              <c:numCache>
                <c:formatCode>#,##0.0</c:formatCode>
                <c:ptCount val="4"/>
                <c:pt idx="0">
                  <c:v>21.8</c:v>
                </c:pt>
                <c:pt idx="1">
                  <c:v>8</c:v>
                </c:pt>
                <c:pt idx="2">
                  <c:v>11.9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4D-43B6-B7DE-3292D43AA775}"/>
            </c:ext>
          </c:extLst>
        </c:ser>
        <c:ser>
          <c:idx val="2"/>
          <c:order val="2"/>
          <c:tx>
            <c:strRef>
              <c:f>Working!$D$39</c:f>
              <c:strCache>
                <c:ptCount val="1"/>
                <c:pt idx="0">
                  <c:v>2023-24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Working!$A$40:$A$43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Working!$D$40:$D$43</c:f>
              <c:numCache>
                <c:formatCode>#,##0.0</c:formatCode>
                <c:ptCount val="4"/>
                <c:pt idx="0">
                  <c:v>31.264225</c:v>
                </c:pt>
                <c:pt idx="1">
                  <c:v>9.7145220000000005</c:v>
                </c:pt>
                <c:pt idx="2">
                  <c:v>5.4296300000000004</c:v>
                </c:pt>
                <c:pt idx="3">
                  <c:v>1.627629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4D-43B6-B7DE-3292D43AA7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999115784"/>
        <c:axId val="999117224"/>
      </c:barChart>
      <c:catAx>
        <c:axId val="99911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117224"/>
        <c:crosses val="autoZero"/>
        <c:auto val="1"/>
        <c:lblAlgn val="ctr"/>
        <c:lblOffset val="100"/>
        <c:noMultiLvlLbl val="0"/>
      </c:catAx>
      <c:valAx>
        <c:axId val="999117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>
                    <a:solidFill>
                      <a:schemeClr val="tx1"/>
                    </a:solidFill>
                  </a:rPr>
                  <a:t> $m</a:t>
                </a:r>
              </a:p>
            </c:rich>
          </c:tx>
          <c:layout>
            <c:manualLayout>
              <c:xMode val="edge"/>
              <c:yMode val="edge"/>
              <c:x val="5.0457253965264749E-3"/>
              <c:y val="7.2091796839482821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911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885649495900192"/>
          <c:y val="5.4584875656461723E-2"/>
          <c:w val="0.13606386099052872"/>
          <c:h val="0.174724954992635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025383323543852E-2"/>
          <c:y val="0.13370953491962737"/>
          <c:w val="0.92555791585363212"/>
          <c:h val="0.61794561416018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Working!$B$48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Working!$A$49:$A$55</c:f>
              <c:strCache>
                <c:ptCount val="7"/>
                <c:pt idx="0">
                  <c:v>Performing arts venues</c:v>
                </c:pt>
                <c:pt idx="1">
                  <c:v>Visual arts &amp; crafts</c:v>
                </c:pt>
                <c:pt idx="2">
                  <c:v>Film &amp; video production &amp; distribution</c:v>
                </c:pt>
                <c:pt idx="3">
                  <c:v>Arts education</c:v>
                </c:pt>
                <c:pt idx="4">
                  <c:v>Multi-arts festivals</c:v>
                </c:pt>
                <c:pt idx="5">
                  <c:v>Arts administration</c:v>
                </c:pt>
                <c:pt idx="6">
                  <c:v>Other arts</c:v>
                </c:pt>
              </c:strCache>
            </c:strRef>
          </c:cat>
          <c:val>
            <c:numRef>
              <c:f>Working!$B$49:$B$55</c:f>
              <c:numCache>
                <c:formatCode>#,##0.0</c:formatCode>
                <c:ptCount val="7"/>
                <c:pt idx="0">
                  <c:v>0.5</c:v>
                </c:pt>
                <c:pt idx="1">
                  <c:v>2</c:v>
                </c:pt>
                <c:pt idx="2">
                  <c:v>3.7</c:v>
                </c:pt>
                <c:pt idx="3">
                  <c:v>3.7</c:v>
                </c:pt>
                <c:pt idx="4">
                  <c:v>13.1</c:v>
                </c:pt>
                <c:pt idx="5">
                  <c:v>8.4</c:v>
                </c:pt>
                <c:pt idx="6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66-451F-ADE9-9B408D21F663}"/>
            </c:ext>
          </c:extLst>
        </c:ser>
        <c:ser>
          <c:idx val="1"/>
          <c:order val="1"/>
          <c:tx>
            <c:strRef>
              <c:f>Working!$C$48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Working!$A$49:$A$55</c:f>
              <c:strCache>
                <c:ptCount val="7"/>
                <c:pt idx="0">
                  <c:v>Performing arts venues</c:v>
                </c:pt>
                <c:pt idx="1">
                  <c:v>Visual arts &amp; crafts</c:v>
                </c:pt>
                <c:pt idx="2">
                  <c:v>Film &amp; video production &amp; distribution</c:v>
                </c:pt>
                <c:pt idx="3">
                  <c:v>Arts education</c:v>
                </c:pt>
                <c:pt idx="4">
                  <c:v>Multi-arts festivals</c:v>
                </c:pt>
                <c:pt idx="5">
                  <c:v>Arts administration</c:v>
                </c:pt>
                <c:pt idx="6">
                  <c:v>Other arts</c:v>
                </c:pt>
              </c:strCache>
            </c:strRef>
          </c:cat>
          <c:val>
            <c:numRef>
              <c:f>Working!$C$49:$C$55</c:f>
              <c:numCache>
                <c:formatCode>#,##0.0</c:formatCode>
                <c:ptCount val="7"/>
                <c:pt idx="0">
                  <c:v>0.8</c:v>
                </c:pt>
                <c:pt idx="1">
                  <c:v>2.8</c:v>
                </c:pt>
                <c:pt idx="2">
                  <c:v>2.2999999999999998</c:v>
                </c:pt>
                <c:pt idx="3">
                  <c:v>4</c:v>
                </c:pt>
                <c:pt idx="4">
                  <c:v>12.5</c:v>
                </c:pt>
                <c:pt idx="5">
                  <c:v>7.4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66-451F-ADE9-9B408D21F663}"/>
            </c:ext>
          </c:extLst>
        </c:ser>
        <c:ser>
          <c:idx val="2"/>
          <c:order val="2"/>
          <c:tx>
            <c:strRef>
              <c:f>Working!$D$48</c:f>
              <c:strCache>
                <c:ptCount val="1"/>
                <c:pt idx="0">
                  <c:v>2023-24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Working!$A$49:$A$55</c:f>
              <c:strCache>
                <c:ptCount val="7"/>
                <c:pt idx="0">
                  <c:v>Performing arts venues</c:v>
                </c:pt>
                <c:pt idx="1">
                  <c:v>Visual arts &amp; crafts</c:v>
                </c:pt>
                <c:pt idx="2">
                  <c:v>Film &amp; video production &amp; distribution</c:v>
                </c:pt>
                <c:pt idx="3">
                  <c:v>Arts education</c:v>
                </c:pt>
                <c:pt idx="4">
                  <c:v>Multi-arts festivals</c:v>
                </c:pt>
                <c:pt idx="5">
                  <c:v>Arts administration</c:v>
                </c:pt>
                <c:pt idx="6">
                  <c:v>Other arts</c:v>
                </c:pt>
              </c:strCache>
            </c:strRef>
          </c:cat>
          <c:val>
            <c:numRef>
              <c:f>Working!$D$49:$D$55</c:f>
              <c:numCache>
                <c:formatCode>#,##0.0</c:formatCode>
                <c:ptCount val="7"/>
                <c:pt idx="0">
                  <c:v>2.3500489999999998</c:v>
                </c:pt>
                <c:pt idx="1">
                  <c:v>3.6160000000000001</c:v>
                </c:pt>
                <c:pt idx="2">
                  <c:v>3.11</c:v>
                </c:pt>
                <c:pt idx="3">
                  <c:v>4.6779999999999999</c:v>
                </c:pt>
                <c:pt idx="4">
                  <c:v>5.5780000000000003</c:v>
                </c:pt>
                <c:pt idx="5">
                  <c:v>2.690515</c:v>
                </c:pt>
                <c:pt idx="6">
                  <c:v>4.3029999999999999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66-451F-ADE9-9B408D21F6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1029324664"/>
        <c:axId val="1029330424"/>
      </c:barChart>
      <c:catAx>
        <c:axId val="102932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330424"/>
        <c:crosses val="autoZero"/>
        <c:auto val="1"/>
        <c:lblAlgn val="ctr"/>
        <c:lblOffset val="100"/>
        <c:noMultiLvlLbl val="0"/>
      </c:catAx>
      <c:valAx>
        <c:axId val="1029330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>
                    <a:solidFill>
                      <a:sysClr val="windowText" lastClr="000000"/>
                    </a:solidFill>
                  </a:rPr>
                  <a:t>$m</a:t>
                </a:r>
              </a:p>
            </c:rich>
          </c:tx>
          <c:layout>
            <c:manualLayout>
              <c:xMode val="edge"/>
              <c:yMode val="edge"/>
              <c:x val="6.3863821547385192E-3"/>
              <c:y val="1.6747104071575328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9324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144184786266672"/>
          <c:y val="8.0486418729028134E-2"/>
          <c:w val="0.12986850590002813"/>
          <c:h val="0.198037497044971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177999409922595"/>
          <c:y val="5.0808314087759814E-2"/>
          <c:w val="0.67009850750894051"/>
          <c:h val="0.847383241273945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Working!$B$60</c:f>
              <c:strCache>
                <c:ptCount val="1"/>
                <c:pt idx="0">
                  <c:v>2023-24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Working!$A$61:$A$70</c:f>
              <c:strCache>
                <c:ptCount val="10"/>
                <c:pt idx="0">
                  <c:v>Other arts</c:v>
                </c:pt>
                <c:pt idx="1">
                  <c:v>Arts administration</c:v>
                </c:pt>
                <c:pt idx="2">
                  <c:v>Multi-arts festivals</c:v>
                </c:pt>
                <c:pt idx="3">
                  <c:v>Arts education</c:v>
                </c:pt>
                <c:pt idx="4">
                  <c:v>Film &amp; video production &amp; distribution</c:v>
                </c:pt>
                <c:pt idx="5">
                  <c:v>Visual arts, crafts &amp; design</c:v>
                </c:pt>
                <c:pt idx="6">
                  <c:v>Performing arts</c:v>
                </c:pt>
                <c:pt idx="7">
                  <c:v>Libraries</c:v>
                </c:pt>
                <c:pt idx="8">
                  <c:v>Other museums &amp; cultural heritage</c:v>
                </c:pt>
                <c:pt idx="9">
                  <c:v>Art museums</c:v>
                </c:pt>
              </c:strCache>
            </c:strRef>
          </c:cat>
          <c:val>
            <c:numRef>
              <c:f>Working!$B$61:$B$70</c:f>
              <c:numCache>
                <c:formatCode>#,##0.0</c:formatCode>
                <c:ptCount val="10"/>
                <c:pt idx="0">
                  <c:v>4.3029999999999999</c:v>
                </c:pt>
                <c:pt idx="1">
                  <c:v>2.61</c:v>
                </c:pt>
                <c:pt idx="2">
                  <c:v>5.5780000000000003</c:v>
                </c:pt>
                <c:pt idx="3">
                  <c:v>4.6779999999999999</c:v>
                </c:pt>
                <c:pt idx="4">
                  <c:v>3.11</c:v>
                </c:pt>
                <c:pt idx="5">
                  <c:v>2.1310000000000002</c:v>
                </c:pt>
                <c:pt idx="6">
                  <c:v>4.2799999999999994</c:v>
                </c:pt>
                <c:pt idx="7">
                  <c:v>5.4240000000000004</c:v>
                </c:pt>
                <c:pt idx="8">
                  <c:v>7.5880000000000001</c:v>
                </c:pt>
                <c:pt idx="9">
                  <c:v>29.297000000000001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B9-4633-8F62-8739851C8D59}"/>
            </c:ext>
          </c:extLst>
        </c:ser>
        <c:ser>
          <c:idx val="1"/>
          <c:order val="1"/>
          <c:tx>
            <c:strRef>
              <c:f>Working!$C$60</c:f>
              <c:strCache>
                <c:ptCount val="1"/>
                <c:pt idx="0">
                  <c:v>2021-22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Working!$A$61:$A$70</c:f>
              <c:strCache>
                <c:ptCount val="10"/>
                <c:pt idx="0">
                  <c:v>Other arts</c:v>
                </c:pt>
                <c:pt idx="1">
                  <c:v>Arts administration</c:v>
                </c:pt>
                <c:pt idx="2">
                  <c:v>Multi-arts festivals</c:v>
                </c:pt>
                <c:pt idx="3">
                  <c:v>Arts education</c:v>
                </c:pt>
                <c:pt idx="4">
                  <c:v>Film &amp; video production &amp; distribution</c:v>
                </c:pt>
                <c:pt idx="5">
                  <c:v>Visual arts, crafts &amp; design</c:v>
                </c:pt>
                <c:pt idx="6">
                  <c:v>Performing arts</c:v>
                </c:pt>
                <c:pt idx="7">
                  <c:v>Libraries</c:v>
                </c:pt>
                <c:pt idx="8">
                  <c:v>Other museums &amp; cultural heritage</c:v>
                </c:pt>
                <c:pt idx="9">
                  <c:v>Art museums</c:v>
                </c:pt>
              </c:strCache>
            </c:strRef>
          </c:cat>
          <c:val>
            <c:numRef>
              <c:f>Working!$C$61:$C$70</c:f>
              <c:numCache>
                <c:formatCode>#,##0.0</c:formatCode>
                <c:ptCount val="10"/>
                <c:pt idx="0">
                  <c:v>0</c:v>
                </c:pt>
                <c:pt idx="1">
                  <c:v>7.3</c:v>
                </c:pt>
                <c:pt idx="2">
                  <c:v>12.5</c:v>
                </c:pt>
                <c:pt idx="3">
                  <c:v>4</c:v>
                </c:pt>
                <c:pt idx="4">
                  <c:v>2.2999999999999998</c:v>
                </c:pt>
                <c:pt idx="5">
                  <c:v>3.1999999999999997</c:v>
                </c:pt>
                <c:pt idx="6">
                  <c:v>3.4000000000000004</c:v>
                </c:pt>
                <c:pt idx="7">
                  <c:v>10.4</c:v>
                </c:pt>
                <c:pt idx="8">
                  <c:v>6.9</c:v>
                </c:pt>
                <c:pt idx="9">
                  <c:v>18.3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B9-4633-8F62-8739851C8D59}"/>
            </c:ext>
          </c:extLst>
        </c:ser>
        <c:ser>
          <c:idx val="2"/>
          <c:order val="2"/>
          <c:tx>
            <c:strRef>
              <c:f>Working!$D$60</c:f>
              <c:strCache>
                <c:ptCount val="1"/>
                <c:pt idx="0">
                  <c:v>2020-21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Working!$A$61:$A$70</c:f>
              <c:strCache>
                <c:ptCount val="10"/>
                <c:pt idx="0">
                  <c:v>Other arts</c:v>
                </c:pt>
                <c:pt idx="1">
                  <c:v>Arts administration</c:v>
                </c:pt>
                <c:pt idx="2">
                  <c:v>Multi-arts festivals</c:v>
                </c:pt>
                <c:pt idx="3">
                  <c:v>Arts education</c:v>
                </c:pt>
                <c:pt idx="4">
                  <c:v>Film &amp; video production &amp; distribution</c:v>
                </c:pt>
                <c:pt idx="5">
                  <c:v>Visual arts, crafts &amp; design</c:v>
                </c:pt>
                <c:pt idx="6">
                  <c:v>Performing arts</c:v>
                </c:pt>
                <c:pt idx="7">
                  <c:v>Libraries</c:v>
                </c:pt>
                <c:pt idx="8">
                  <c:v>Other museums &amp; cultural heritage</c:v>
                </c:pt>
                <c:pt idx="9">
                  <c:v>Art museums</c:v>
                </c:pt>
              </c:strCache>
            </c:strRef>
          </c:cat>
          <c:val>
            <c:numRef>
              <c:f>Working!$D$61:$D$70</c:f>
              <c:numCache>
                <c:formatCode>#,##0.0</c:formatCode>
                <c:ptCount val="10"/>
                <c:pt idx="0">
                  <c:v>0.1</c:v>
                </c:pt>
                <c:pt idx="1">
                  <c:v>8.3000000000000007</c:v>
                </c:pt>
                <c:pt idx="2">
                  <c:v>13.1</c:v>
                </c:pt>
                <c:pt idx="3">
                  <c:v>3.7</c:v>
                </c:pt>
                <c:pt idx="4">
                  <c:v>3.6</c:v>
                </c:pt>
                <c:pt idx="5">
                  <c:v>2</c:v>
                </c:pt>
                <c:pt idx="6">
                  <c:v>3.7</c:v>
                </c:pt>
                <c:pt idx="7">
                  <c:v>10.4</c:v>
                </c:pt>
                <c:pt idx="8">
                  <c:v>5.6</c:v>
                </c:pt>
                <c:pt idx="9">
                  <c:v>17.8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B9-4633-8F62-8739851C8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989175784"/>
        <c:axId val="989176144"/>
      </c:barChart>
      <c:catAx>
        <c:axId val="989175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9176144"/>
        <c:crosses val="autoZero"/>
        <c:auto val="1"/>
        <c:lblAlgn val="ctr"/>
        <c:lblOffset val="100"/>
        <c:noMultiLvlLbl val="0"/>
      </c:catAx>
      <c:valAx>
        <c:axId val="98917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800">
                    <a:solidFill>
                      <a:sysClr val="windowText" lastClr="000000"/>
                    </a:solidFill>
                  </a:rPr>
                  <a:t>$m</a:t>
                </a:r>
              </a:p>
            </c:rich>
          </c:tx>
          <c:layout>
            <c:manualLayout>
              <c:xMode val="edge"/>
              <c:yMode val="edge"/>
              <c:x val="0.64433298873269806"/>
              <c:y val="0.944499828825744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917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4152348736466942"/>
          <c:y val="7.0550867396555514E-2"/>
          <c:w val="0.14264931472281064"/>
          <c:h val="0.156320131625337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anchor="ctr" anchorCtr="0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77D1F5"/>
      </a:accent1>
      <a:accent2>
        <a:srgbClr val="4EB2B5"/>
      </a:accent2>
      <a:accent3>
        <a:srgbClr val="959ACD"/>
      </a:accent3>
      <a:accent4>
        <a:srgbClr val="1177AD"/>
      </a:accent4>
      <a:accent5>
        <a:srgbClr val="BADB98"/>
      </a:accent5>
      <a:accent6>
        <a:srgbClr val="626E81"/>
      </a:accent6>
      <a:hlink>
        <a:srgbClr val="155589"/>
      </a:hlink>
      <a:folHlink>
        <a:srgbClr val="155589"/>
      </a:folHlink>
    </a:clrScheme>
    <a:fontScheme name="DoC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03A6-6568-42EA-A1F8-C825669957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2025-09-09T03:36:00Z</dcterms:created>
  <dcterms:modified xsi:type="dcterms:W3CDTF">2025-09-10T01:12:00Z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2025-06-27T04:39:50Z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edfd7bc1-c89d-49a4-bda0-f984fe6fae15</vt:lpwstr>
  </property>
  <property fmtid="{D5CDD505-2E9C-101B-9397-08002B2CF9AE}" pid="8" name="MSIP_Label_c8e5a7ee-c283-40b0-98eb-fa437df4c031_ContentBits">
    <vt:lpwstr>0</vt:lpwstr>
  </property>
  <property fmtid="{D5CDD505-2E9C-101B-9397-08002B2CF9AE}" pid="9" name="MSIP_Label_c8e5a7ee-c283-40b0-98eb-fa437df4c031_Tag">
    <vt:lpwstr>10, 0, 1, 1</vt:lpwstr>
  </property>
</Properties>
</file>