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237CF" w14:textId="07871BF3"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00E7133E">
            <wp:extent cx="7645481" cy="1400175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B10E" w14:textId="77777777" w:rsidR="00FC16F3" w:rsidRDefault="00FC16F3" w:rsidP="0094124E">
      <w:pPr>
        <w:ind w:left="-1418"/>
        <w:sectPr w:rsidR="00FC16F3" w:rsidSect="00477982">
          <w:headerReference w:type="even" r:id="rId10"/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163C2A0C" w14:textId="13A99AB1" w:rsidR="002117E6" w:rsidRDefault="001D64AC" w:rsidP="00477982">
      <w:pPr>
        <w:pStyle w:val="Heading1"/>
      </w:pPr>
      <w:r>
        <w:t>Cultural Funding by Government—</w:t>
      </w:r>
      <w:r w:rsidR="0070126E">
        <w:t>202</w:t>
      </w:r>
      <w:r w:rsidR="00883B9E">
        <w:t>3</w:t>
      </w:r>
      <w:r w:rsidR="0070126E">
        <w:t>–2</w:t>
      </w:r>
      <w:r w:rsidR="00883B9E">
        <w:t>4</w:t>
      </w:r>
    </w:p>
    <w:p w14:paraId="15A36C69" w14:textId="77777777" w:rsidR="00C054CD" w:rsidRDefault="00C054CD" w:rsidP="00C054CD">
      <w:pPr>
        <w:pStyle w:val="Heading2"/>
      </w:pPr>
      <w:r>
        <w:rPr>
          <w:szCs w:val="36"/>
        </w:rPr>
        <w:t xml:space="preserve">Queensland </w:t>
      </w:r>
      <w:r w:rsidRPr="00527D9C">
        <w:rPr>
          <w:szCs w:val="36"/>
        </w:rPr>
        <w:t>Government</w:t>
      </w:r>
    </w:p>
    <w:p w14:paraId="62B40606" w14:textId="4DD7FD70" w:rsidR="00BE5054" w:rsidRPr="00ED2D01" w:rsidRDefault="00C054CD" w:rsidP="00C054CD">
      <w:r w:rsidRPr="00ED2D01">
        <w:t>The estimate of expenditure funded by the Queensland Government in 20</w:t>
      </w:r>
      <w:r w:rsidR="00143CA3" w:rsidRPr="00ED2D01">
        <w:t>2</w:t>
      </w:r>
      <w:r w:rsidR="00883B9E" w:rsidRPr="00ED2D01">
        <w:t>3</w:t>
      </w:r>
      <w:r w:rsidRPr="00ED2D01">
        <w:t>–2</w:t>
      </w:r>
      <w:r w:rsidR="00883B9E" w:rsidRPr="00ED2D01">
        <w:t>4</w:t>
      </w:r>
      <w:r w:rsidRPr="00ED2D01">
        <w:t xml:space="preserve"> for cultural activities was </w:t>
      </w:r>
      <w:bookmarkStart w:id="0" w:name="_Hlk201305822"/>
      <w:r w:rsidRPr="00ED2D01">
        <w:rPr>
          <w:b/>
        </w:rPr>
        <w:t>$</w:t>
      </w:r>
      <w:r w:rsidR="00E52DDD" w:rsidRPr="00ED2D01">
        <w:rPr>
          <w:b/>
        </w:rPr>
        <w:t>582.1</w:t>
      </w:r>
      <w:r w:rsidRPr="00ED2D01">
        <w:rPr>
          <w:b/>
        </w:rPr>
        <w:t>m</w:t>
      </w:r>
      <w:bookmarkEnd w:id="0"/>
      <w:r w:rsidRPr="00ED2D01">
        <w:t>. This represented an increase of</w:t>
      </w:r>
      <w:r w:rsidR="00375AFF" w:rsidRPr="00ED2D01">
        <w:t xml:space="preserve"> </w:t>
      </w:r>
      <w:r w:rsidR="00E52DDD" w:rsidRPr="00ED2D01">
        <w:t>12</w:t>
      </w:r>
      <w:r w:rsidR="000E1820" w:rsidRPr="00ED2D01">
        <w:t xml:space="preserve">% </w:t>
      </w:r>
      <w:r w:rsidRPr="00ED2D01">
        <w:t>or $</w:t>
      </w:r>
      <w:r w:rsidR="00E52DDD" w:rsidRPr="00ED2D01">
        <w:t>64.0</w:t>
      </w:r>
      <w:r w:rsidR="009B49A4" w:rsidRPr="00ED2D01">
        <w:t>m</w:t>
      </w:r>
      <w:r w:rsidRPr="00ED2D01">
        <w:t xml:space="preserve"> from 20</w:t>
      </w:r>
      <w:r w:rsidR="00AA5367" w:rsidRPr="00ED2D01">
        <w:t>2</w:t>
      </w:r>
      <w:r w:rsidR="00883B9E" w:rsidRPr="00ED2D01">
        <w:t>1</w:t>
      </w:r>
      <w:r w:rsidRPr="00ED2D01">
        <w:t>–</w:t>
      </w:r>
      <w:r w:rsidR="009B49A4" w:rsidRPr="00ED2D01">
        <w:t>2</w:t>
      </w:r>
      <w:r w:rsidR="00883B9E" w:rsidRPr="00ED2D01">
        <w:t>2</w:t>
      </w:r>
      <w:r w:rsidRPr="00ED2D01">
        <w:t>.</w:t>
      </w:r>
    </w:p>
    <w:p w14:paraId="6CB40CB2" w14:textId="721A4B36" w:rsidR="00C054CD" w:rsidRDefault="00C054CD" w:rsidP="00C054CD">
      <w:pPr>
        <w:pStyle w:val="Tablefigureheading"/>
      </w:pPr>
      <w:r>
        <w:t>Table 1. Queensland Government cultural expenditure, 20</w:t>
      </w:r>
      <w:r w:rsidR="00883B9E">
        <w:t>20</w:t>
      </w:r>
      <w:r>
        <w:t>–</w:t>
      </w:r>
      <w:r w:rsidR="00AA5367">
        <w:t>2</w:t>
      </w:r>
      <w:r w:rsidR="00883B9E">
        <w:t>1</w:t>
      </w:r>
      <w:r>
        <w:t xml:space="preserve"> to 202</w:t>
      </w:r>
      <w:r w:rsidR="00883B9E">
        <w:t>3</w:t>
      </w:r>
      <w:r>
        <w:t>–2</w:t>
      </w:r>
      <w:r w:rsidR="00883B9E">
        <w:t>4</w:t>
      </w:r>
      <w:r w:rsidR="00C55F5C">
        <w:rPr>
          <w:rStyle w:val="FootnoteReference"/>
        </w:rPr>
        <w:footnoteReference w:id="1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984"/>
      </w:tblGrid>
      <w:tr w:rsidR="00883B9E" w14:paraId="02CEEF70" w14:textId="77777777" w:rsidTr="00907FA6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14C9C824" w14:textId="63DAAD5D" w:rsidR="00883B9E" w:rsidRPr="00CA51CB" w:rsidRDefault="00883B9E" w:rsidP="00883B9E">
            <w:pPr>
              <w:pStyle w:val="Tablerowcolumnheading"/>
              <w:jc w:val="center"/>
            </w:pPr>
            <w:r w:rsidRPr="00CA51CB">
              <w:t>2020–21</w:t>
            </w:r>
            <w:r w:rsidRPr="00CA51CB">
              <w:rPr>
                <w:rStyle w:val="FootnoteReference"/>
              </w:rPr>
              <w:footnoteReference w:id="2"/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1C0FC80D" w14:textId="51E3C9CB" w:rsidR="00883B9E" w:rsidRPr="00CA51CB" w:rsidRDefault="00883B9E" w:rsidP="00883B9E">
            <w:pPr>
              <w:pStyle w:val="Tablerowcolumnheadingcentred"/>
            </w:pPr>
            <w:r w:rsidRPr="00CA51CB">
              <w:t>2021–22</w:t>
            </w:r>
            <w:r w:rsidRPr="00CA51CB">
              <w:rPr>
                <w:rStyle w:val="FootnoteReference"/>
              </w:rPr>
              <w:footnoteReference w:id="3"/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247A4C54" w14:textId="4516071C" w:rsidR="00883B9E" w:rsidRPr="00CA51CB" w:rsidRDefault="00883B9E" w:rsidP="00883B9E">
            <w:pPr>
              <w:pStyle w:val="Tablerowcolumnheadingcentred"/>
            </w:pPr>
            <w:r w:rsidRPr="00CA51CB">
              <w:t>202</w:t>
            </w:r>
            <w:r>
              <w:t>3</w:t>
            </w:r>
            <w:r w:rsidRPr="00CA51CB">
              <w:t>–</w:t>
            </w:r>
            <w:r>
              <w:t>24</w:t>
            </w:r>
          </w:p>
        </w:tc>
      </w:tr>
      <w:tr w:rsidR="00883B9E" w14:paraId="7F23BDDA" w14:textId="77777777" w:rsidTr="00907FA6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7C442A6" w14:textId="71B9EFB4" w:rsidR="00883B9E" w:rsidRPr="00CA51CB" w:rsidRDefault="00883B9E" w:rsidP="00883B9E">
            <w:pPr>
              <w:pStyle w:val="Tabletext"/>
              <w:jc w:val="center"/>
            </w:pPr>
            <w:r w:rsidRPr="00CA51CB">
              <w:t>$506.7m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F3DC588" w14:textId="7CCABCDB" w:rsidR="00883B9E" w:rsidRPr="00CA51CB" w:rsidRDefault="00883B9E" w:rsidP="00883B9E">
            <w:pPr>
              <w:pStyle w:val="Tabletextcentred"/>
            </w:pPr>
            <w:r w:rsidRPr="00CA51CB">
              <w:t>$518.1m ↑</w:t>
            </w:r>
            <w:r w:rsidRPr="00393AAF">
              <w:t>2%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FCFBA1D" w14:textId="33938546" w:rsidR="00883B9E" w:rsidRPr="00CA51CB" w:rsidRDefault="00883B9E" w:rsidP="00883B9E">
            <w:pPr>
              <w:pStyle w:val="Tabletextcentred"/>
            </w:pPr>
            <w:r w:rsidRPr="00CA51CB">
              <w:t>$</w:t>
            </w:r>
            <w:r w:rsidR="00E52DDD">
              <w:t>582</w:t>
            </w:r>
            <w:r w:rsidR="00E52DDD" w:rsidRPr="00E52DDD">
              <w:t>.1</w:t>
            </w:r>
            <w:r w:rsidRPr="00E52DDD">
              <w:t>m ↑</w:t>
            </w:r>
            <w:r w:rsidR="00E52DDD" w:rsidRPr="00E52DDD">
              <w:t>12</w:t>
            </w:r>
            <w:r w:rsidRPr="00E52DDD">
              <w:t>%</w:t>
            </w:r>
          </w:p>
        </w:tc>
      </w:tr>
    </w:tbl>
    <w:p w14:paraId="193753CD" w14:textId="1D55634B" w:rsidR="00C054CD" w:rsidRPr="00ED2D01" w:rsidRDefault="00C054CD" w:rsidP="00C054CD">
      <w:pPr>
        <w:pStyle w:val="ListParagraph"/>
        <w:numPr>
          <w:ilvl w:val="0"/>
          <w:numId w:val="6"/>
        </w:numPr>
        <w:spacing w:before="240"/>
        <w:ind w:left="567" w:hanging="567"/>
      </w:pPr>
      <w:r w:rsidRPr="00ED2D01">
        <w:t xml:space="preserve">Recurrent expenses accounted for </w:t>
      </w:r>
      <w:r w:rsidR="003156B9" w:rsidRPr="00ED2D01">
        <w:t>81</w:t>
      </w:r>
      <w:r w:rsidRPr="00ED2D01">
        <w:t>% ($</w:t>
      </w:r>
      <w:r w:rsidR="003156B9" w:rsidRPr="00ED2D01">
        <w:t>469.1</w:t>
      </w:r>
      <w:r w:rsidRPr="00ED2D01">
        <w:t>m) of funded cultural expenditure.</w:t>
      </w:r>
    </w:p>
    <w:p w14:paraId="7A969FD5" w14:textId="01802742" w:rsidR="00C054CD" w:rsidRPr="00ED2D01" w:rsidRDefault="00C054CD" w:rsidP="00C054CD">
      <w:pPr>
        <w:pStyle w:val="ListParagraph"/>
        <w:numPr>
          <w:ilvl w:val="0"/>
          <w:numId w:val="6"/>
        </w:numPr>
        <w:ind w:left="567" w:hanging="567"/>
      </w:pPr>
      <w:r w:rsidRPr="00ED2D01">
        <w:t>Capital expenditure was $</w:t>
      </w:r>
      <w:r w:rsidR="003156B9" w:rsidRPr="00ED2D01">
        <w:t>113.0</w:t>
      </w:r>
      <w:r w:rsidRPr="00ED2D01">
        <w:t>m, and the largest categor</w:t>
      </w:r>
      <w:r w:rsidR="00883B9E" w:rsidRPr="00ED2D01">
        <w:t>ies</w:t>
      </w:r>
      <w:r w:rsidRPr="00ED2D01">
        <w:t xml:space="preserve"> were </w:t>
      </w:r>
      <w:r w:rsidRPr="00ED2D01">
        <w:rPr>
          <w:i/>
        </w:rPr>
        <w:t>Performing art</w:t>
      </w:r>
      <w:r w:rsidR="006537B6" w:rsidRPr="00ED2D01">
        <w:rPr>
          <w:i/>
        </w:rPr>
        <w:t>s</w:t>
      </w:r>
      <w:r w:rsidRPr="00ED2D01">
        <w:rPr>
          <w:i/>
        </w:rPr>
        <w:t xml:space="preserve"> venues</w:t>
      </w:r>
      <w:r w:rsidRPr="00ED2D01">
        <w:t xml:space="preserve"> ($</w:t>
      </w:r>
      <w:r w:rsidR="003156B9" w:rsidRPr="00ED2D01">
        <w:t>77.2</w:t>
      </w:r>
      <w:r w:rsidRPr="00ED2D01">
        <w:t xml:space="preserve">m) and </w:t>
      </w:r>
      <w:r w:rsidR="00883B9E" w:rsidRPr="00ED2D01">
        <w:rPr>
          <w:i/>
        </w:rPr>
        <w:t>Libraries</w:t>
      </w:r>
      <w:r w:rsidRPr="00ED2D01">
        <w:t xml:space="preserve"> ($</w:t>
      </w:r>
      <w:r w:rsidR="003156B9" w:rsidRPr="00ED2D01">
        <w:t>16.6</w:t>
      </w:r>
      <w:r w:rsidRPr="00ED2D01">
        <w:t xml:space="preserve">m). </w:t>
      </w:r>
    </w:p>
    <w:p w14:paraId="7F7EAFB4" w14:textId="799140F2" w:rsidR="00C054CD" w:rsidRPr="00ED2D01" w:rsidRDefault="00C054CD" w:rsidP="00C054CD">
      <w:pPr>
        <w:pStyle w:val="ListParagraph"/>
        <w:numPr>
          <w:ilvl w:val="0"/>
          <w:numId w:val="6"/>
        </w:numPr>
        <w:ind w:left="567" w:hanging="567"/>
      </w:pPr>
      <w:r w:rsidRPr="00ED2D01">
        <w:t>The estimate of per person cultural funding was $</w:t>
      </w:r>
      <w:r w:rsidR="003156B9" w:rsidRPr="00ED2D01">
        <w:t>105.33</w:t>
      </w:r>
      <w:r w:rsidR="001E1000" w:rsidRPr="00ED2D01">
        <w:t>.</w:t>
      </w:r>
    </w:p>
    <w:p w14:paraId="3A277A03" w14:textId="19F08235" w:rsidR="00C054CD" w:rsidRPr="00ED2D01" w:rsidRDefault="00C054CD" w:rsidP="00C054CD">
      <w:r w:rsidRPr="00ED2D01">
        <w:t xml:space="preserve">Funds </w:t>
      </w:r>
      <w:r w:rsidR="00800CF4" w:rsidRPr="00ED2D01">
        <w:t xml:space="preserve">for Total </w:t>
      </w:r>
      <w:r w:rsidRPr="00C55F5C">
        <w:rPr>
          <w:b/>
          <w:bCs/>
          <w:i/>
        </w:rPr>
        <w:t>Heritage</w:t>
      </w:r>
      <w:r w:rsidRPr="00ED2D01">
        <w:t xml:space="preserve"> activities</w:t>
      </w:r>
      <w:r w:rsidR="00800CF4" w:rsidRPr="00ED2D01">
        <w:t xml:space="preserve"> (recurrent and capital)</w:t>
      </w:r>
      <w:r w:rsidRPr="00ED2D01">
        <w:t xml:space="preserve"> </w:t>
      </w:r>
      <w:r w:rsidR="003156B9" w:rsidRPr="00ED2D01">
        <w:t>rose</w:t>
      </w:r>
      <w:r w:rsidRPr="00ED2D01">
        <w:t xml:space="preserve"> </w:t>
      </w:r>
      <w:r w:rsidR="00C86EC1" w:rsidRPr="00ED2D01">
        <w:t>13</w:t>
      </w:r>
      <w:r w:rsidRPr="00ED2D01">
        <w:t>% (or $</w:t>
      </w:r>
      <w:r w:rsidR="00C86EC1" w:rsidRPr="00ED2D01">
        <w:t>30.4</w:t>
      </w:r>
      <w:r w:rsidRPr="00ED2D01">
        <w:t>m) to $</w:t>
      </w:r>
      <w:r w:rsidR="00C86EC1" w:rsidRPr="00ED2D01">
        <w:t>268.7</w:t>
      </w:r>
      <w:r w:rsidRPr="00ED2D01">
        <w:t>m.</w:t>
      </w:r>
    </w:p>
    <w:p w14:paraId="1780950B" w14:textId="43F285CD" w:rsidR="00C054CD" w:rsidRPr="00ED2D01" w:rsidRDefault="003156B9" w:rsidP="00C054CD">
      <w:r w:rsidRPr="00ED2D01">
        <w:t>This</w:t>
      </w:r>
      <w:r w:rsidR="00121F3D">
        <w:t xml:space="preserve"> increase</w:t>
      </w:r>
      <w:r w:rsidR="00C054CD" w:rsidRPr="00ED2D01">
        <w:t xml:space="preserve"> was driven by </w:t>
      </w:r>
      <w:r w:rsidRPr="00ED2D01">
        <w:t>a</w:t>
      </w:r>
      <w:r w:rsidR="00C86EC1" w:rsidRPr="00ED2D01">
        <w:t xml:space="preserve"> rise </w:t>
      </w:r>
      <w:r w:rsidRPr="00ED2D01">
        <w:t xml:space="preserve">in all </w:t>
      </w:r>
      <w:r w:rsidRPr="00ED2D01">
        <w:rPr>
          <w:i/>
          <w:iCs/>
        </w:rPr>
        <w:t>Heritage</w:t>
      </w:r>
      <w:r w:rsidRPr="00ED2D01">
        <w:t xml:space="preserve"> categories of</w:t>
      </w:r>
      <w:r w:rsidR="00496716" w:rsidRPr="00ED2D01">
        <w:t xml:space="preserve"> </w:t>
      </w:r>
      <w:r w:rsidR="00C054CD" w:rsidRPr="00ED2D01">
        <w:t>expenditure</w:t>
      </w:r>
      <w:r w:rsidRPr="00ED2D01">
        <w:t xml:space="preserve">. </w:t>
      </w:r>
      <w:r w:rsidR="00C86EC1" w:rsidRPr="00ED2D01">
        <w:t>However, the</w:t>
      </w:r>
      <w:r w:rsidRPr="00ED2D01">
        <w:t xml:space="preserve"> main contributor was</w:t>
      </w:r>
      <w:r w:rsidR="00C054CD" w:rsidRPr="00ED2D01">
        <w:t xml:space="preserve"> </w:t>
      </w:r>
      <w:r w:rsidR="0062347E" w:rsidRPr="00ED2D01">
        <w:rPr>
          <w:i/>
        </w:rPr>
        <w:t>Libraries</w:t>
      </w:r>
      <w:r w:rsidR="009B49A4" w:rsidRPr="00ED2D01">
        <w:rPr>
          <w:i/>
        </w:rPr>
        <w:t xml:space="preserve"> </w:t>
      </w:r>
      <w:r w:rsidRPr="00ED2D01">
        <w:t xml:space="preserve">with an increase of $22.2m, followed by </w:t>
      </w:r>
      <w:r w:rsidRPr="00ED2D01">
        <w:rPr>
          <w:i/>
          <w:iCs/>
        </w:rPr>
        <w:t>Art museums</w:t>
      </w:r>
      <w:r w:rsidRPr="00ED2D01">
        <w:t xml:space="preserve"> (</w:t>
      </w:r>
      <w:r w:rsidRPr="00ED2D01">
        <w:rPr>
          <w:rFonts w:cstheme="minorHAnsi"/>
        </w:rPr>
        <w:t>↑$4.</w:t>
      </w:r>
      <w:r w:rsidR="00A8117A" w:rsidRPr="00ED2D01">
        <w:rPr>
          <w:rFonts w:cstheme="minorHAnsi"/>
        </w:rPr>
        <w:t>3</w:t>
      </w:r>
      <w:r w:rsidRPr="00ED2D01">
        <w:rPr>
          <w:rFonts w:cstheme="minorHAnsi"/>
        </w:rPr>
        <w:t>m</w:t>
      </w:r>
      <w:r w:rsidRPr="00ED2D01">
        <w:t>).</w:t>
      </w:r>
    </w:p>
    <w:p w14:paraId="3AE27334" w14:textId="7418AC11" w:rsidR="00C054CD" w:rsidRPr="00ED2D01" w:rsidRDefault="00C054CD" w:rsidP="00C054CD">
      <w:pPr>
        <w:rPr>
          <w:iCs/>
        </w:rPr>
      </w:pPr>
      <w:r w:rsidRPr="00ED2D01">
        <w:t xml:space="preserve">The largest categories of </w:t>
      </w:r>
      <w:r w:rsidRPr="00ED2D01">
        <w:rPr>
          <w:i/>
        </w:rPr>
        <w:t>Heritage</w:t>
      </w:r>
      <w:r w:rsidRPr="00ED2D01">
        <w:t xml:space="preserve"> expenditure were </w:t>
      </w:r>
      <w:r w:rsidRPr="00ED2D01">
        <w:rPr>
          <w:i/>
          <w:iCs/>
        </w:rPr>
        <w:t xml:space="preserve">Libraries </w:t>
      </w:r>
      <w:r w:rsidRPr="00ED2D01">
        <w:t>$</w:t>
      </w:r>
      <w:r w:rsidR="00C86EC1" w:rsidRPr="00ED2D01">
        <w:t>106.3</w:t>
      </w:r>
      <w:r w:rsidRPr="00ED2D01">
        <w:t xml:space="preserve">m, followed by </w:t>
      </w:r>
      <w:r w:rsidRPr="00ED2D01">
        <w:rPr>
          <w:i/>
        </w:rPr>
        <w:t>Other museums and cultural heritage</w:t>
      </w:r>
      <w:r w:rsidRPr="00ED2D01">
        <w:t xml:space="preserve"> with $</w:t>
      </w:r>
      <w:r w:rsidR="00C86EC1" w:rsidRPr="00ED2D01">
        <w:t>81</w:t>
      </w:r>
      <w:r w:rsidR="0062347E" w:rsidRPr="00ED2D01">
        <w:t>.</w:t>
      </w:r>
      <w:r w:rsidR="00C86EC1" w:rsidRPr="00ED2D01">
        <w:t>3</w:t>
      </w:r>
      <w:r w:rsidRPr="00ED2D01">
        <w:t>m.</w:t>
      </w:r>
      <w:r w:rsidRPr="00ED2D01">
        <w:rPr>
          <w:i/>
        </w:rPr>
        <w:t xml:space="preserve"> </w:t>
      </w:r>
    </w:p>
    <w:p w14:paraId="1C6A722D" w14:textId="24E1EA0D" w:rsidR="00C054CD" w:rsidRPr="00CA51CB" w:rsidRDefault="00C054CD" w:rsidP="00C054CD">
      <w:pPr>
        <w:pStyle w:val="Tablefigureheading"/>
      </w:pPr>
      <w:bookmarkStart w:id="2" w:name="_Toc524533023"/>
      <w:r w:rsidRPr="00CA51CB">
        <w:t xml:space="preserve">Figure 1. Queensland Government heritage </w:t>
      </w:r>
      <w:bookmarkEnd w:id="2"/>
      <w:r w:rsidR="00E07A68" w:rsidRPr="00CA51CB">
        <w:t>expenditure (</w:t>
      </w:r>
      <w:r w:rsidR="00CA51CB" w:rsidRPr="00CA51CB">
        <w:t>recurrent and capital)</w:t>
      </w:r>
    </w:p>
    <w:p w14:paraId="5E10F069" w14:textId="010E8FFC" w:rsidR="00AA5367" w:rsidRPr="00AA5367" w:rsidRDefault="0055574D" w:rsidP="00AA5367">
      <w:pPr>
        <w:rPr>
          <w:lang w:eastAsia="en-US"/>
        </w:rPr>
      </w:pPr>
      <w:r>
        <w:rPr>
          <w:noProof/>
        </w:rPr>
        <w:drawing>
          <wp:inline distT="0" distB="0" distL="0" distR="0" wp14:anchorId="26B66D66" wp14:editId="6B78B3BB">
            <wp:extent cx="5506062" cy="2726959"/>
            <wp:effectExtent l="0" t="0" r="0" b="0"/>
            <wp:docPr id="1418315295" name="Chart 1" descr="Figure 1. Queensland Government heritage expenditure (recurrent and capital).&#10;A column graph compares expenditure across the heritage categories of Art museums, Other museums &amp; cultural heritage, Libraries and Archives between the financial years of 2020-21, 2021-22 and 2023-24 for the Queensland Government.&#10;2020-21: Art museums $60.1m, Other museums &amp; cultural heritage $74.9m, Libraries $86.2m, Archives $19.0m.&#10;2021-22: Art museums $57.5m, Other museums &amp; cultural heritage $79.1m, Libraries $84.1m, Archives $17.7m.&#10;2023-24: Art museums $61.8m, Other museums &amp; cultural heritage $81.3m, Libraries $106.3m, Archives $19.3m.">
              <a:extLst xmlns:a="http://schemas.openxmlformats.org/drawingml/2006/main">
                <a:ext uri="{FF2B5EF4-FFF2-40B4-BE49-F238E27FC236}">
                  <a16:creationId xmlns:a16="http://schemas.microsoft.com/office/drawing/2014/main" id="{B832683C-7733-4387-BA4B-8988D10376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A18C44B" w14:textId="278AFC0A" w:rsidR="00C054CD" w:rsidRPr="00ED2D01" w:rsidRDefault="00C054CD" w:rsidP="00C054CD">
      <w:r w:rsidRPr="00ED2D01">
        <w:lastRenderedPageBreak/>
        <w:t>Funds for</w:t>
      </w:r>
      <w:r w:rsidR="007C0069" w:rsidRPr="00ED2D01">
        <w:t xml:space="preserve"> Total</w:t>
      </w:r>
      <w:r w:rsidRPr="00ED2D01">
        <w:t xml:space="preserve"> </w:t>
      </w:r>
      <w:r w:rsidRPr="00C55F5C">
        <w:rPr>
          <w:b/>
          <w:bCs/>
          <w:i/>
        </w:rPr>
        <w:t>Arts</w:t>
      </w:r>
      <w:r w:rsidRPr="00C55F5C">
        <w:rPr>
          <w:b/>
          <w:bCs/>
        </w:rPr>
        <w:t xml:space="preserve"> </w:t>
      </w:r>
      <w:r w:rsidRPr="00ED2D01">
        <w:t>activities</w:t>
      </w:r>
      <w:r w:rsidR="007C0069" w:rsidRPr="00ED2D01">
        <w:t xml:space="preserve"> (recurrent and capital)</w:t>
      </w:r>
      <w:r w:rsidRPr="00ED2D01">
        <w:t xml:space="preserve"> rose </w:t>
      </w:r>
      <w:r w:rsidR="00C86EC1" w:rsidRPr="00ED2D01">
        <w:t>12</w:t>
      </w:r>
      <w:r w:rsidRPr="00ED2D01">
        <w:t>%</w:t>
      </w:r>
      <w:r w:rsidR="00CD32E9" w:rsidRPr="00ED2D01">
        <w:t xml:space="preserve"> </w:t>
      </w:r>
      <w:r w:rsidRPr="00ED2D01">
        <w:t>(or $</w:t>
      </w:r>
      <w:r w:rsidR="00C86EC1" w:rsidRPr="00ED2D01">
        <w:t>33.6</w:t>
      </w:r>
      <w:r w:rsidRPr="00ED2D01">
        <w:t>m) to $</w:t>
      </w:r>
      <w:r w:rsidR="00C86EC1" w:rsidRPr="00ED2D01">
        <w:t>313.4</w:t>
      </w:r>
      <w:r w:rsidRPr="00ED2D01">
        <w:t>m.</w:t>
      </w:r>
    </w:p>
    <w:p w14:paraId="6C648CA0" w14:textId="0E8E3B17" w:rsidR="00C054CD" w:rsidRPr="00C55F5C" w:rsidRDefault="00C86EC1" w:rsidP="00C054CD">
      <w:pPr>
        <w:rPr>
          <w:rFonts w:cstheme="minorHAnsi"/>
        </w:rPr>
      </w:pPr>
      <w:r w:rsidRPr="00C55F5C">
        <w:rPr>
          <w:rFonts w:cstheme="minorHAnsi"/>
        </w:rPr>
        <w:t xml:space="preserve">This </w:t>
      </w:r>
      <w:r w:rsidR="00121F3D" w:rsidRPr="00C55F5C">
        <w:rPr>
          <w:rFonts w:cstheme="minorHAnsi"/>
        </w:rPr>
        <w:t xml:space="preserve">shift </w:t>
      </w:r>
      <w:r w:rsidRPr="00C55F5C">
        <w:rPr>
          <w:rFonts w:cstheme="minorHAnsi"/>
        </w:rPr>
        <w:t xml:space="preserve">was mainly driven by an increase in </w:t>
      </w:r>
      <w:r w:rsidRPr="00C55F5C">
        <w:rPr>
          <w:rFonts w:cstheme="minorHAnsi"/>
          <w:i/>
          <w:iCs/>
        </w:rPr>
        <w:t>Film and video production and distribution</w:t>
      </w:r>
      <w:r w:rsidRPr="00C55F5C">
        <w:rPr>
          <w:rFonts w:cstheme="minorHAnsi"/>
        </w:rPr>
        <w:t xml:space="preserve">, ↑$31.7m, as well as </w:t>
      </w:r>
      <w:r w:rsidRPr="00C55F5C">
        <w:rPr>
          <w:rFonts w:cstheme="minorHAnsi"/>
          <w:i/>
          <w:iCs/>
        </w:rPr>
        <w:t>Arts education</w:t>
      </w:r>
      <w:r w:rsidRPr="00C55F5C">
        <w:rPr>
          <w:rFonts w:cstheme="minorHAnsi"/>
        </w:rPr>
        <w:t xml:space="preserve"> (↑$4.5m), </w:t>
      </w:r>
      <w:r w:rsidRPr="00C55F5C">
        <w:rPr>
          <w:rFonts w:cstheme="minorHAnsi"/>
          <w:i/>
          <w:iCs/>
        </w:rPr>
        <w:t xml:space="preserve">Cross-art form </w:t>
      </w:r>
      <w:r w:rsidRPr="00C55F5C">
        <w:rPr>
          <w:rFonts w:cstheme="minorHAnsi"/>
        </w:rPr>
        <w:t xml:space="preserve">(↑$3.6m), and </w:t>
      </w:r>
      <w:r w:rsidRPr="00C55F5C">
        <w:rPr>
          <w:rFonts w:cstheme="minorHAnsi"/>
          <w:i/>
          <w:iCs/>
        </w:rPr>
        <w:t>Community arts and cultural development</w:t>
      </w:r>
      <w:r w:rsidRPr="00C55F5C">
        <w:rPr>
          <w:rFonts w:cstheme="minorHAnsi"/>
        </w:rPr>
        <w:t xml:space="preserve"> (↑</w:t>
      </w:r>
      <w:r w:rsidR="00364F50" w:rsidRPr="00C55F5C">
        <w:rPr>
          <w:rFonts w:cstheme="minorHAnsi"/>
        </w:rPr>
        <w:t>3.4m</w:t>
      </w:r>
      <w:r w:rsidRPr="00C55F5C">
        <w:rPr>
          <w:rFonts w:cstheme="minorHAnsi"/>
        </w:rPr>
        <w:t>).</w:t>
      </w:r>
    </w:p>
    <w:p w14:paraId="6873C312" w14:textId="629D6F8C" w:rsidR="00C054CD" w:rsidRPr="00CA51CB" w:rsidRDefault="00C054CD" w:rsidP="00C054CD">
      <w:pPr>
        <w:pStyle w:val="Tablefigureheading"/>
      </w:pPr>
      <w:bookmarkStart w:id="3" w:name="_Toc524533024"/>
      <w:r w:rsidRPr="00CA51CB">
        <w:t>Figure 2. Queensland Government arts expenditure, by selected categories</w:t>
      </w:r>
      <w:bookmarkEnd w:id="3"/>
      <w:r w:rsidR="00CA51CB" w:rsidRPr="00CA51CB">
        <w:t xml:space="preserve"> (recurrent and capital)</w:t>
      </w:r>
    </w:p>
    <w:p w14:paraId="2E6E0416" w14:textId="328DF921" w:rsidR="00AA5367" w:rsidRPr="00AA5367" w:rsidRDefault="00C80D9B" w:rsidP="00AA5367">
      <w:pPr>
        <w:rPr>
          <w:lang w:eastAsia="en-US"/>
        </w:rPr>
      </w:pPr>
      <w:r>
        <w:rPr>
          <w:noProof/>
        </w:rPr>
        <w:drawing>
          <wp:inline distT="0" distB="0" distL="0" distR="0" wp14:anchorId="0B9B3C09" wp14:editId="39F7CA57">
            <wp:extent cx="5774055" cy="2311400"/>
            <wp:effectExtent l="0" t="0" r="0" b="0"/>
            <wp:docPr id="2128059399" name="Chart 1" descr="Figure 2. Queensland Government arts expenditure (recurrent and capital), by selected categories.&#10;A column graph compares expenditure across the arts categories of Music, Theatre, Performing arts venues, Film &amp; video production &amp; distribution, Arts education, Community arts &amp; cultural development and Arts administration between the financial years of 2020-21, 2021-22 and 2023-24 for the Queensland Government.&#10;2020-21: Music $14.0m, Theatre $9.3m, Performing arts venues $117.4m, Film &amp; video production &amp; distribution $12.3m, Arts education $43.7m, Community arts &amp; cultural development $6.1m, Arts administration $9.5m.&#10;2021-22: Music $19.6m, Theatre $7.7m, Performing arts venues $120.7m, Film &amp; video production &amp; distribution $11.2m, Arts education $47.8m, Community arts &amp; cultural development $8.4m, Arts administration $10.2m.&#10;2023-24: Music $20.8m, Theatre $10.0m, Performing arts venues $122.2m, Film &amp; video production &amp; distribution $42.9m, Arts education $52.3m, Community arts &amp; cultural development $11.8m, Arts administration $10.7m.">
              <a:extLst xmlns:a="http://schemas.openxmlformats.org/drawingml/2006/main">
                <a:ext uri="{FF2B5EF4-FFF2-40B4-BE49-F238E27FC236}">
                  <a16:creationId xmlns:a16="http://schemas.microsoft.com/office/drawing/2014/main" id="{C417034E-53CE-4BC4-9F64-105B2AD21E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6054AAB" w14:textId="64D11E39" w:rsidR="00C054CD" w:rsidRPr="00591D2A" w:rsidRDefault="00C054CD" w:rsidP="00C054CD">
      <w:r w:rsidRPr="00591D2A">
        <w:rPr>
          <w:i/>
        </w:rPr>
        <w:t>Performing arts venues</w:t>
      </w:r>
      <w:r w:rsidRPr="00591D2A">
        <w:t xml:space="preserve"> ($</w:t>
      </w:r>
      <w:r w:rsidR="00C92FBF" w:rsidRPr="00591D2A">
        <w:t>122.2m</w:t>
      </w:r>
      <w:r w:rsidRPr="00591D2A">
        <w:t>)</w:t>
      </w:r>
      <w:r w:rsidR="007C0069" w:rsidRPr="00591D2A">
        <w:t xml:space="preserve"> </w:t>
      </w:r>
      <w:r w:rsidRPr="00591D2A">
        <w:t xml:space="preserve">accounted for </w:t>
      </w:r>
      <w:r w:rsidR="009879BD" w:rsidRPr="00591D2A">
        <w:t>over one-third</w:t>
      </w:r>
      <w:r w:rsidRPr="00591D2A">
        <w:t xml:space="preserve"> (or </w:t>
      </w:r>
      <w:r w:rsidR="00C92FBF" w:rsidRPr="00591D2A">
        <w:t>39</w:t>
      </w:r>
      <w:r w:rsidRPr="00591D2A">
        <w:t xml:space="preserve">%) of all funded expenditure by the Queensland Government on </w:t>
      </w:r>
      <w:r w:rsidRPr="00591D2A">
        <w:rPr>
          <w:i/>
        </w:rPr>
        <w:t>Arts</w:t>
      </w:r>
      <w:r w:rsidRPr="00591D2A">
        <w:t xml:space="preserve"> activities.</w:t>
      </w:r>
    </w:p>
    <w:p w14:paraId="040E5AEA" w14:textId="77777777" w:rsidR="00C054CD" w:rsidRPr="00591D2A" w:rsidRDefault="00C054CD" w:rsidP="00441265">
      <w:pPr>
        <w:spacing w:after="0"/>
      </w:pPr>
      <w:r w:rsidRPr="00591D2A">
        <w:t xml:space="preserve">Other main categories of </w:t>
      </w:r>
      <w:r w:rsidRPr="00591D2A">
        <w:rPr>
          <w:i/>
        </w:rPr>
        <w:t>Arts</w:t>
      </w:r>
      <w:r w:rsidRPr="00591D2A">
        <w:t xml:space="preserve"> activities funding were:</w:t>
      </w:r>
    </w:p>
    <w:p w14:paraId="35C27FDA" w14:textId="55AF044D" w:rsidR="00C054CD" w:rsidRPr="00591D2A" w:rsidRDefault="00C054CD" w:rsidP="00C054CD">
      <w:pPr>
        <w:pStyle w:val="ListParagraph"/>
        <w:numPr>
          <w:ilvl w:val="0"/>
          <w:numId w:val="9"/>
        </w:numPr>
        <w:ind w:left="567" w:hanging="567"/>
      </w:pPr>
      <w:r w:rsidRPr="00591D2A">
        <w:rPr>
          <w:i/>
        </w:rPr>
        <w:t>Arts education</w:t>
      </w:r>
      <w:r w:rsidRPr="00591D2A">
        <w:t>—$</w:t>
      </w:r>
      <w:r w:rsidR="00C92FBF" w:rsidRPr="00591D2A">
        <w:t>52.3</w:t>
      </w:r>
      <w:r w:rsidRPr="00591D2A">
        <w:t>m</w:t>
      </w:r>
    </w:p>
    <w:p w14:paraId="38C56699" w14:textId="13D5B3E5" w:rsidR="00C92FBF" w:rsidRPr="00591D2A" w:rsidRDefault="00C92FBF" w:rsidP="00C92FBF">
      <w:pPr>
        <w:pStyle w:val="ListParagraph"/>
        <w:numPr>
          <w:ilvl w:val="0"/>
          <w:numId w:val="9"/>
        </w:numPr>
        <w:ind w:left="567" w:hanging="567"/>
      </w:pPr>
      <w:r w:rsidRPr="00591D2A">
        <w:rPr>
          <w:i/>
        </w:rPr>
        <w:t>Film and video production and distribution</w:t>
      </w:r>
      <w:r w:rsidRPr="00591D2A">
        <w:t>—$42.9m</w:t>
      </w:r>
    </w:p>
    <w:p w14:paraId="6A46890E" w14:textId="020B36CE" w:rsidR="00C92FBF" w:rsidRPr="00591D2A" w:rsidRDefault="0062347E" w:rsidP="00C92FBF">
      <w:pPr>
        <w:pStyle w:val="ListParagraph"/>
        <w:numPr>
          <w:ilvl w:val="0"/>
          <w:numId w:val="9"/>
        </w:numPr>
        <w:ind w:left="567" w:hanging="567"/>
      </w:pPr>
      <w:r w:rsidRPr="00591D2A">
        <w:rPr>
          <w:i/>
        </w:rPr>
        <w:t>Music</w:t>
      </w:r>
      <w:r w:rsidRPr="00591D2A">
        <w:t>—$</w:t>
      </w:r>
      <w:r w:rsidR="00C92FBF" w:rsidRPr="00591D2A">
        <w:t>20.8</w:t>
      </w:r>
      <w:r w:rsidRPr="00591D2A">
        <w:t>m</w:t>
      </w:r>
    </w:p>
    <w:p w14:paraId="433E842B" w14:textId="46FD9487" w:rsidR="0062347E" w:rsidRPr="00591D2A" w:rsidRDefault="00C92FBF" w:rsidP="0062347E">
      <w:pPr>
        <w:pStyle w:val="ListParagraph"/>
        <w:numPr>
          <w:ilvl w:val="0"/>
          <w:numId w:val="9"/>
        </w:numPr>
        <w:ind w:left="567" w:hanging="567"/>
      </w:pPr>
      <w:r w:rsidRPr="00591D2A">
        <w:rPr>
          <w:i/>
        </w:rPr>
        <w:t>Community arts and cultural development</w:t>
      </w:r>
      <w:r w:rsidR="0062347E" w:rsidRPr="00591D2A">
        <w:t>—$1</w:t>
      </w:r>
      <w:r w:rsidRPr="00591D2A">
        <w:t>1</w:t>
      </w:r>
      <w:r w:rsidR="0062347E" w:rsidRPr="00591D2A">
        <w:t>.</w:t>
      </w:r>
      <w:r w:rsidRPr="00591D2A">
        <w:t>8</w:t>
      </w:r>
      <w:r w:rsidR="0062347E" w:rsidRPr="00591D2A">
        <w:t>m</w:t>
      </w:r>
    </w:p>
    <w:p w14:paraId="530FD967" w14:textId="1FC517E0" w:rsidR="00C054CD" w:rsidRPr="00591D2A" w:rsidRDefault="007C0069" w:rsidP="00C054CD">
      <w:r w:rsidRPr="00591D2A">
        <w:t xml:space="preserve">Total </w:t>
      </w:r>
      <w:r w:rsidR="00E52DDD" w:rsidRPr="00591D2A">
        <w:t xml:space="preserve">heritage and arts </w:t>
      </w:r>
      <w:r w:rsidRPr="00C55F5C">
        <w:rPr>
          <w:b/>
          <w:bCs/>
        </w:rPr>
        <w:t>r</w:t>
      </w:r>
      <w:r w:rsidR="00C054CD" w:rsidRPr="00C55F5C">
        <w:rPr>
          <w:b/>
          <w:bCs/>
        </w:rPr>
        <w:t>ecurrent</w:t>
      </w:r>
      <w:r w:rsidR="00C054CD" w:rsidRPr="00591D2A">
        <w:t xml:space="preserve"> expenditure </w:t>
      </w:r>
      <w:r w:rsidR="00A25CB4" w:rsidRPr="00591D2A">
        <w:t>increased</w:t>
      </w:r>
      <w:r w:rsidR="0062347E" w:rsidRPr="00591D2A">
        <w:t xml:space="preserve"> by </w:t>
      </w:r>
      <w:r w:rsidR="00A25CB4" w:rsidRPr="00591D2A">
        <w:t>17</w:t>
      </w:r>
      <w:r w:rsidR="00C054CD" w:rsidRPr="00591D2A">
        <w:t>% (or $</w:t>
      </w:r>
      <w:r w:rsidR="00A25CB4" w:rsidRPr="00591D2A">
        <w:t>66.8</w:t>
      </w:r>
      <w:r w:rsidR="00C054CD" w:rsidRPr="00591D2A">
        <w:t>m) to $</w:t>
      </w:r>
      <w:r w:rsidR="00A25CB4" w:rsidRPr="00591D2A">
        <w:t>469.1</w:t>
      </w:r>
      <w:r w:rsidR="00C054CD" w:rsidRPr="00591D2A">
        <w:t>m.</w:t>
      </w:r>
    </w:p>
    <w:p w14:paraId="22142A19" w14:textId="0FD44E6A" w:rsidR="00C054CD" w:rsidRPr="00591D2A" w:rsidRDefault="00C054CD" w:rsidP="00C054CD">
      <w:r w:rsidRPr="00591D2A">
        <w:t xml:space="preserve">The largest recurrent expenditure was for </w:t>
      </w:r>
      <w:r w:rsidRPr="00591D2A">
        <w:rPr>
          <w:i/>
        </w:rPr>
        <w:t>Libraries</w:t>
      </w:r>
      <w:r w:rsidR="00A25CB4" w:rsidRPr="00591D2A">
        <w:rPr>
          <w:iCs/>
        </w:rPr>
        <w:t>,</w:t>
      </w:r>
      <w:r w:rsidRPr="00591D2A">
        <w:t xml:space="preserve"> </w:t>
      </w:r>
      <w:r w:rsidR="009B49A4" w:rsidRPr="00591D2A">
        <w:t>$</w:t>
      </w:r>
      <w:r w:rsidR="00A25CB4" w:rsidRPr="00591D2A">
        <w:t>89</w:t>
      </w:r>
      <w:r w:rsidR="009B49A4" w:rsidRPr="00591D2A">
        <w:t>.</w:t>
      </w:r>
      <w:r w:rsidR="00A25CB4" w:rsidRPr="00591D2A">
        <w:t>7</w:t>
      </w:r>
      <w:r w:rsidRPr="00591D2A">
        <w:t xml:space="preserve">m, followed by </w:t>
      </w:r>
      <w:r w:rsidR="009B49A4" w:rsidRPr="00591D2A">
        <w:rPr>
          <w:i/>
        </w:rPr>
        <w:t xml:space="preserve">Other museums and cultural heritage </w:t>
      </w:r>
      <w:r w:rsidRPr="00591D2A">
        <w:rPr>
          <w:iCs/>
        </w:rPr>
        <w:t>($</w:t>
      </w:r>
      <w:r w:rsidR="00A25CB4" w:rsidRPr="00591D2A">
        <w:rPr>
          <w:iCs/>
        </w:rPr>
        <w:t>67</w:t>
      </w:r>
      <w:r w:rsidR="0062347E" w:rsidRPr="00591D2A">
        <w:rPr>
          <w:iCs/>
        </w:rPr>
        <w:t>.</w:t>
      </w:r>
      <w:r w:rsidR="00A25CB4" w:rsidRPr="00591D2A">
        <w:rPr>
          <w:iCs/>
        </w:rPr>
        <w:t>2</w:t>
      </w:r>
      <w:r w:rsidRPr="00591D2A">
        <w:rPr>
          <w:iCs/>
        </w:rPr>
        <w:t xml:space="preserve">m) and </w:t>
      </w:r>
      <w:r w:rsidR="009B49A4" w:rsidRPr="00591D2A">
        <w:rPr>
          <w:i/>
        </w:rPr>
        <w:t>Art m</w:t>
      </w:r>
      <w:r w:rsidRPr="00591D2A">
        <w:rPr>
          <w:i/>
        </w:rPr>
        <w:t xml:space="preserve">useums </w:t>
      </w:r>
      <w:r w:rsidRPr="00591D2A">
        <w:rPr>
          <w:iCs/>
        </w:rPr>
        <w:t>($</w:t>
      </w:r>
      <w:r w:rsidR="00A25CB4" w:rsidRPr="00591D2A">
        <w:rPr>
          <w:iCs/>
        </w:rPr>
        <w:t>61</w:t>
      </w:r>
      <w:r w:rsidR="0062347E" w:rsidRPr="00591D2A">
        <w:rPr>
          <w:iCs/>
        </w:rPr>
        <w:t>.</w:t>
      </w:r>
      <w:r w:rsidR="00A25CB4" w:rsidRPr="00591D2A">
        <w:rPr>
          <w:iCs/>
        </w:rPr>
        <w:t>6</w:t>
      </w:r>
      <w:r w:rsidRPr="00591D2A">
        <w:rPr>
          <w:iCs/>
        </w:rPr>
        <w:t>m).</w:t>
      </w:r>
    </w:p>
    <w:p w14:paraId="7A9FC736" w14:textId="53FB6BA2" w:rsidR="00C054CD" w:rsidRPr="00CA51CB" w:rsidRDefault="00C054CD" w:rsidP="00C054CD">
      <w:pPr>
        <w:pStyle w:val="Tablefigureheading"/>
        <w:rPr>
          <w:color w:val="00B050"/>
        </w:rPr>
      </w:pPr>
      <w:r w:rsidRPr="00CA51CB">
        <w:t>Figure 3. Queensland Government recurrent cultural expenditure, by selected categories</w:t>
      </w:r>
    </w:p>
    <w:p w14:paraId="49B4E300" w14:textId="33A23DDE" w:rsidR="00C054CD" w:rsidRPr="00CA51CB" w:rsidRDefault="00057205" w:rsidP="00E52DDD">
      <w:pPr>
        <w:rPr>
          <w:lang w:eastAsia="en-US"/>
        </w:rPr>
      </w:pPr>
      <w:r>
        <w:rPr>
          <w:noProof/>
        </w:rPr>
        <w:drawing>
          <wp:inline distT="0" distB="0" distL="0" distR="0" wp14:anchorId="722C3F3E" wp14:editId="02573BFC">
            <wp:extent cx="5926455" cy="2742565"/>
            <wp:effectExtent l="0" t="0" r="0" b="635"/>
            <wp:docPr id="1815125473" name="Chart 1" descr="Figure 3. Queensland Government recurrent cultural expenditure, by selected categories.&#10;A column graph compares expenditure across the heritage and arts categories of Art museums, Other museums and cultural heritage, Libraries, Archives, Music, Performing arts venues, Film &amp; video production &amp; distribution and Arts education between the financial years of 2020-21, 2021-22 and 2023-24 for the Queensland Government.&#10;2020-21: Art museums $56.4m, Other museums &amp; cultural heritage $60.5m, Libraries $82.8m, Archives $19.0m, Music $14.0m, Performing arts venues $48.9m, Film &amp; video production &amp; distribution $12.3m, Arts education $43.7m.&#10;2021-22: Art museums $55.1m, Other museums &amp; cultural heritage $56.7m, Libraries $82.0m, Archives $17.6m, Music $19.6m, Performing arts venues $34.8m, Film &amp; video production &amp; distribution $11.2m, Arts education $47.8m.&#10;2023-24: Art museums $61.6m, Other museums &amp; cultural heritage $67.2m, Libraries $89.7m, Archives $18.7m, Music $20.8m, Performing arts venues $45.0m, Film &amp; video production &amp; distribution $42.8m, Arts education $52.3m.">
              <a:extLst xmlns:a="http://schemas.openxmlformats.org/drawingml/2006/main">
                <a:ext uri="{FF2B5EF4-FFF2-40B4-BE49-F238E27FC236}">
                  <a16:creationId xmlns:a16="http://schemas.microsoft.com/office/drawing/2014/main" id="{3943926F-5237-4F86-BA8F-263861DCE1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C054CD" w:rsidRPr="00CA51CB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32C91" w14:textId="77777777" w:rsidR="001C5A6E" w:rsidRDefault="001C5A6E" w:rsidP="002117E6">
      <w:pPr>
        <w:spacing w:after="0"/>
      </w:pPr>
      <w:r>
        <w:separator/>
      </w:r>
    </w:p>
  </w:endnote>
  <w:endnote w:type="continuationSeparator" w:id="0">
    <w:p w14:paraId="6FD0239E" w14:textId="77777777" w:rsidR="001C5A6E" w:rsidRDefault="001C5A6E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D076" w14:textId="0547921B" w:rsidR="00FC0C98" w:rsidRPr="002454AC" w:rsidRDefault="00FC0C98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</w:t>
    </w:r>
    <w:r w:rsidR="006970A6">
      <w:rPr>
        <w:sz w:val="18"/>
        <w:szCs w:val="18"/>
      </w:rPr>
      <w:t>2</w:t>
    </w:r>
    <w:r w:rsidR="004A540C">
      <w:rPr>
        <w:sz w:val="18"/>
        <w:szCs w:val="18"/>
      </w:rPr>
      <w:t>3</w:t>
    </w:r>
    <w:r>
      <w:t>–</w:t>
    </w:r>
    <w:r>
      <w:rPr>
        <w:sz w:val="18"/>
        <w:szCs w:val="18"/>
      </w:rPr>
      <w:t>2</w:t>
    </w:r>
    <w:r w:rsidR="004A540C">
      <w:rPr>
        <w:sz w:val="18"/>
        <w:szCs w:val="18"/>
      </w:rPr>
      <w:t>4</w:t>
    </w:r>
    <w:r w:rsidRPr="00CC4247">
      <w:rPr>
        <w:sz w:val="18"/>
        <w:szCs w:val="18"/>
      </w:rPr>
      <w:t>—</w:t>
    </w:r>
    <w:r w:rsidR="00C054CD">
      <w:rPr>
        <w:sz w:val="18"/>
        <w:szCs w:val="18"/>
      </w:rPr>
      <w:t>Queensland</w:t>
    </w:r>
    <w:r w:rsidRPr="00CC4247">
      <w:rPr>
        <w:sz w:val="18"/>
        <w:szCs w:val="18"/>
      </w:rPr>
      <w:t xml:space="preserve"> Government</w:t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14:paraId="7A8AEEF8" w14:textId="77777777"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BC86" w14:textId="3E2AB96C"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</w:t>
    </w:r>
    <w:r w:rsidR="004A540C">
      <w:rPr>
        <w:i/>
        <w:iCs/>
        <w:noProof/>
        <w:sz w:val="18"/>
        <w:szCs w:val="18"/>
        <w:lang w:eastAsia="en-AU"/>
      </w:rPr>
      <w:t>3</w:t>
    </w:r>
    <w:r>
      <w:t>–</w:t>
    </w:r>
    <w:r>
      <w:rPr>
        <w:i/>
        <w:iCs/>
        <w:noProof/>
        <w:sz w:val="18"/>
        <w:szCs w:val="18"/>
        <w:lang w:eastAsia="en-AU"/>
      </w:rPr>
      <w:t>2</w:t>
    </w:r>
    <w:r w:rsidR="004A540C">
      <w:rPr>
        <w:i/>
        <w:iCs/>
        <w:noProof/>
        <w:sz w:val="18"/>
        <w:szCs w:val="18"/>
        <w:lang w:eastAsia="en-AU"/>
      </w:rPr>
      <w:t>4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14:paraId="471F2EF6" w14:textId="0E44F1C9"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BEC9B" w14:textId="77777777" w:rsidR="001C5A6E" w:rsidRDefault="001C5A6E" w:rsidP="002117E6">
      <w:pPr>
        <w:spacing w:after="0"/>
      </w:pPr>
      <w:r>
        <w:separator/>
      </w:r>
    </w:p>
  </w:footnote>
  <w:footnote w:type="continuationSeparator" w:id="0">
    <w:p w14:paraId="759D4A7A" w14:textId="77777777" w:rsidR="001C5A6E" w:rsidRDefault="001C5A6E" w:rsidP="002117E6">
      <w:pPr>
        <w:spacing w:after="0"/>
      </w:pPr>
      <w:r>
        <w:continuationSeparator/>
      </w:r>
    </w:p>
  </w:footnote>
  <w:footnote w:id="1">
    <w:p w14:paraId="75C44E20" w14:textId="3479BE00" w:rsidR="00C55F5C" w:rsidRPr="00C55F5C" w:rsidRDefault="00C55F5C">
      <w:pPr>
        <w:pStyle w:val="FootnoteText"/>
        <w:rPr>
          <w:sz w:val="17"/>
          <w:szCs w:val="17"/>
        </w:rPr>
      </w:pPr>
      <w:r w:rsidRPr="00C55F5C">
        <w:rPr>
          <w:rStyle w:val="FootnoteReference"/>
          <w:sz w:val="17"/>
          <w:szCs w:val="17"/>
        </w:rPr>
        <w:footnoteRef/>
      </w:r>
      <w:r w:rsidRPr="00C55F5C">
        <w:rPr>
          <w:sz w:val="17"/>
          <w:szCs w:val="17"/>
        </w:rPr>
        <w:t xml:space="preserve"> No survey was conducted for 2022–23 due to the move to a biennial collection cycle.</w:t>
      </w:r>
    </w:p>
  </w:footnote>
  <w:footnote w:id="2">
    <w:p w14:paraId="5739BD26" w14:textId="77777777" w:rsidR="00883B9E" w:rsidRPr="007D3CA2" w:rsidRDefault="00883B9E">
      <w:pPr>
        <w:pStyle w:val="FootnoteText"/>
        <w:rPr>
          <w:sz w:val="17"/>
          <w:szCs w:val="17"/>
        </w:rPr>
      </w:pPr>
      <w:r w:rsidRPr="007D3CA2">
        <w:rPr>
          <w:rStyle w:val="FootnoteReference"/>
          <w:sz w:val="17"/>
          <w:szCs w:val="17"/>
        </w:rPr>
        <w:footnoteRef/>
      </w:r>
      <w:r w:rsidRPr="007D3CA2">
        <w:rPr>
          <w:sz w:val="17"/>
          <w:szCs w:val="17"/>
        </w:rPr>
        <w:t xml:space="preserve"> Includes $43.0m targeted cultural and creative sector COVID support funding, reported across categories and totals.</w:t>
      </w:r>
    </w:p>
  </w:footnote>
  <w:footnote w:id="3">
    <w:p w14:paraId="2AC15082" w14:textId="77777777" w:rsidR="00883B9E" w:rsidRDefault="00883B9E">
      <w:pPr>
        <w:pStyle w:val="FootnoteText"/>
      </w:pPr>
      <w:r w:rsidRPr="007D3CA2">
        <w:rPr>
          <w:rStyle w:val="FootnoteReference"/>
          <w:sz w:val="17"/>
          <w:szCs w:val="17"/>
        </w:rPr>
        <w:footnoteRef/>
      </w:r>
      <w:r w:rsidRPr="007D3CA2">
        <w:rPr>
          <w:sz w:val="17"/>
          <w:szCs w:val="17"/>
        </w:rPr>
        <w:t xml:space="preserve"> Includes $28.4m targeted cultural and creative sector COVID support funding, reported across categories and totals.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DC8C1" w14:textId="7EF97D2D" w:rsidR="00AA5367" w:rsidRDefault="00AA536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442EAB" wp14:editId="23B4BB5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254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DC066" w14:textId="344AE059" w:rsidR="00AA5367" w:rsidRPr="00AA5367" w:rsidRDefault="00AA536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A536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42E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nYWwIAAJsEAAAOAAAAZHJzL2Uyb0RvYy54bWysVEuP2jAQvlfqf7B8hwQ27NKIsAqwqVZC&#10;y0pQ7dk4DokUP2QbElr1v3fsJLTd9lT1Yibz/r6ZYfHY8hpdmDaVFAmejEOMmKAyr8QpwV8O2WiO&#10;kbFE5KSWgiX4ygx+XH78sGhUzKaylHXONIIkwsSNSnBprYqDwNCScWLGUjEBxkJqTix86lOQa9JA&#10;dl4H0zC8Dxqpc6UlZcaAdtMZ8dLnLwpG7a4oDLOoTjD0Zv2r/Xt0b7BckPikiSor2rdB/qELTioB&#10;RW+pNsQSdNbVH6l4RbU0srBjKnkgi6KizGMANJPwHZp9SRTzWIAco240mf+Xlr5cXjWq8gTfYSQI&#10;hxEdWGvRSrYINDkzFNjaZdnz+jndeohg3hrrwDpHD/LbLH2KJlk6Ha3DLBtF0UM4+rTaRKNZlm7W&#10;6fxhvXqafndkBz7KxweNMrGv76blxb2CZmwLxWGXnLvTG1C6am2hufsF0hDYYZrX2wRdJxSUUXQ3&#10;v59hRMHUy13RIVhpYz8zyZETEqxhQTwocoGeOtfBxdUSMqvqGvQkrsVvCgDiNB5E16Hr1bbHtm/7&#10;KPMroNGy2zmjaFZBzS0x9pVoWDIAAIdjd/AUtWwSLHsJo1Lqr3/TO3+YPVgxamBpEyzgqjCqnwXs&#10;hNvvQdCDcBwEceZrCVcwgYNU1IsQoG09iIWW/A2uKXU1wEQEhUoJtoO4tt3hwDVSlqbeCbZYEbsV&#10;e0VdakeR4+/QvhGtepItTOdFDstM4ndcd74u0qj0bIFxPwhHZ8dhzzJcgN+f/lrdif367b1+/qcs&#10;f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oBD52FsCAACbBAAADgAAAAAAAAAAAAAAAAAuAgAAZHJzL2Uyb0RvYy54bWxQSwECLQAU&#10;AAYACAAAACEAhLDTKNYAAAADAQAADwAAAAAAAAAAAAAAAAC1BAAAZHJzL2Rvd25yZXYueG1sUEsF&#10;BgAAAAAEAAQA8wAAALgFAAAAAA==&#10;" filled="f" stroked="f">
              <v:textbox style="mso-fit-shape-to-text:t" inset="0,0,0,0">
                <w:txbxContent>
                  <w:p w14:paraId="357DC066" w14:textId="344AE059" w:rsidR="00AA5367" w:rsidRPr="00AA5367" w:rsidRDefault="00AA5367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A536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BF70" w14:textId="3480DCFC"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4EAA70E2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05254B" w14:textId="3179CBD0"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257DCB">
      <w:t xml:space="preserve">September </w:t>
    </w:r>
    <w:r w:rsidR="0069692F">
      <w:t>202</w:t>
    </w:r>
    <w:r w:rsidR="004A540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3E"/>
    <w:rsid w:val="0000697D"/>
    <w:rsid w:val="00024E6D"/>
    <w:rsid w:val="00024EAC"/>
    <w:rsid w:val="00057205"/>
    <w:rsid w:val="00063535"/>
    <w:rsid w:val="00066DCE"/>
    <w:rsid w:val="00087771"/>
    <w:rsid w:val="000B27A8"/>
    <w:rsid w:val="000C680C"/>
    <w:rsid w:val="000E1820"/>
    <w:rsid w:val="0010452B"/>
    <w:rsid w:val="00105622"/>
    <w:rsid w:val="00111A64"/>
    <w:rsid w:val="00121F3D"/>
    <w:rsid w:val="00121F79"/>
    <w:rsid w:val="00143433"/>
    <w:rsid w:val="00143BD3"/>
    <w:rsid w:val="00143CA3"/>
    <w:rsid w:val="001471EA"/>
    <w:rsid w:val="001472FC"/>
    <w:rsid w:val="001715EF"/>
    <w:rsid w:val="001736CC"/>
    <w:rsid w:val="00182735"/>
    <w:rsid w:val="00185E9F"/>
    <w:rsid w:val="001940C9"/>
    <w:rsid w:val="0019701B"/>
    <w:rsid w:val="001B1674"/>
    <w:rsid w:val="001C5A21"/>
    <w:rsid w:val="001C5A6E"/>
    <w:rsid w:val="001C7827"/>
    <w:rsid w:val="001D3797"/>
    <w:rsid w:val="001D51E4"/>
    <w:rsid w:val="001D64AC"/>
    <w:rsid w:val="001D7905"/>
    <w:rsid w:val="001E1000"/>
    <w:rsid w:val="001F64E1"/>
    <w:rsid w:val="002117E6"/>
    <w:rsid w:val="00230358"/>
    <w:rsid w:val="0023201F"/>
    <w:rsid w:val="00233C13"/>
    <w:rsid w:val="00234C00"/>
    <w:rsid w:val="002352F9"/>
    <w:rsid w:val="0024033A"/>
    <w:rsid w:val="00242B78"/>
    <w:rsid w:val="002454AC"/>
    <w:rsid w:val="00257DCB"/>
    <w:rsid w:val="00265D2E"/>
    <w:rsid w:val="00290FEC"/>
    <w:rsid w:val="00293DD6"/>
    <w:rsid w:val="002966CA"/>
    <w:rsid w:val="002A3B4B"/>
    <w:rsid w:val="002A4338"/>
    <w:rsid w:val="002B00C1"/>
    <w:rsid w:val="002C2C0D"/>
    <w:rsid w:val="002C5369"/>
    <w:rsid w:val="002D637E"/>
    <w:rsid w:val="002E2477"/>
    <w:rsid w:val="002E46A4"/>
    <w:rsid w:val="002F0402"/>
    <w:rsid w:val="002F3895"/>
    <w:rsid w:val="00302513"/>
    <w:rsid w:val="00303786"/>
    <w:rsid w:val="003156B9"/>
    <w:rsid w:val="00327F06"/>
    <w:rsid w:val="00335334"/>
    <w:rsid w:val="00336DDD"/>
    <w:rsid w:val="0034581A"/>
    <w:rsid w:val="00353BE8"/>
    <w:rsid w:val="00363704"/>
    <w:rsid w:val="00364F50"/>
    <w:rsid w:val="00373CB8"/>
    <w:rsid w:val="00375AFF"/>
    <w:rsid w:val="00381364"/>
    <w:rsid w:val="00382743"/>
    <w:rsid w:val="0039367A"/>
    <w:rsid w:val="00393AAF"/>
    <w:rsid w:val="003B5B1D"/>
    <w:rsid w:val="003C73DB"/>
    <w:rsid w:val="003D142F"/>
    <w:rsid w:val="003D562E"/>
    <w:rsid w:val="003E78EF"/>
    <w:rsid w:val="003F495D"/>
    <w:rsid w:val="00400E77"/>
    <w:rsid w:val="0041185C"/>
    <w:rsid w:val="00420E56"/>
    <w:rsid w:val="00423090"/>
    <w:rsid w:val="00424641"/>
    <w:rsid w:val="00426F0B"/>
    <w:rsid w:val="00433E7A"/>
    <w:rsid w:val="00436F4C"/>
    <w:rsid w:val="00441265"/>
    <w:rsid w:val="00450D6E"/>
    <w:rsid w:val="00451BA0"/>
    <w:rsid w:val="00456F44"/>
    <w:rsid w:val="00467552"/>
    <w:rsid w:val="004755A2"/>
    <w:rsid w:val="00477982"/>
    <w:rsid w:val="00480154"/>
    <w:rsid w:val="004819E5"/>
    <w:rsid w:val="0048626B"/>
    <w:rsid w:val="0048644E"/>
    <w:rsid w:val="00487A81"/>
    <w:rsid w:val="00496716"/>
    <w:rsid w:val="004A540C"/>
    <w:rsid w:val="004D0B6D"/>
    <w:rsid w:val="004E59C7"/>
    <w:rsid w:val="00506643"/>
    <w:rsid w:val="00514C96"/>
    <w:rsid w:val="00524E61"/>
    <w:rsid w:val="00526687"/>
    <w:rsid w:val="005377F7"/>
    <w:rsid w:val="00542695"/>
    <w:rsid w:val="00544465"/>
    <w:rsid w:val="0055574D"/>
    <w:rsid w:val="005579A8"/>
    <w:rsid w:val="00561190"/>
    <w:rsid w:val="005658F1"/>
    <w:rsid w:val="00565B47"/>
    <w:rsid w:val="005741CF"/>
    <w:rsid w:val="00575A5A"/>
    <w:rsid w:val="00591D2A"/>
    <w:rsid w:val="005932D0"/>
    <w:rsid w:val="00597F9B"/>
    <w:rsid w:val="005A23A0"/>
    <w:rsid w:val="005A32C6"/>
    <w:rsid w:val="005B3551"/>
    <w:rsid w:val="005C7C65"/>
    <w:rsid w:val="005F23E0"/>
    <w:rsid w:val="00605481"/>
    <w:rsid w:val="0061446D"/>
    <w:rsid w:val="00623330"/>
    <w:rsid w:val="0062347E"/>
    <w:rsid w:val="00625397"/>
    <w:rsid w:val="0064138E"/>
    <w:rsid w:val="006426E5"/>
    <w:rsid w:val="006537B6"/>
    <w:rsid w:val="00657C04"/>
    <w:rsid w:val="0066348A"/>
    <w:rsid w:val="0067069A"/>
    <w:rsid w:val="00693994"/>
    <w:rsid w:val="0069692F"/>
    <w:rsid w:val="006970A6"/>
    <w:rsid w:val="006A08AD"/>
    <w:rsid w:val="006A2F0E"/>
    <w:rsid w:val="006C5A9D"/>
    <w:rsid w:val="006D0316"/>
    <w:rsid w:val="006D1908"/>
    <w:rsid w:val="006D4E49"/>
    <w:rsid w:val="006E7109"/>
    <w:rsid w:val="006F06FD"/>
    <w:rsid w:val="006F39B0"/>
    <w:rsid w:val="006F5B76"/>
    <w:rsid w:val="0070126E"/>
    <w:rsid w:val="00705B86"/>
    <w:rsid w:val="00705FA6"/>
    <w:rsid w:val="00711AA5"/>
    <w:rsid w:val="00712A67"/>
    <w:rsid w:val="007260A2"/>
    <w:rsid w:val="0072648F"/>
    <w:rsid w:val="007316EF"/>
    <w:rsid w:val="00734ED8"/>
    <w:rsid w:val="0074751D"/>
    <w:rsid w:val="00753BB6"/>
    <w:rsid w:val="00784F67"/>
    <w:rsid w:val="00786EFF"/>
    <w:rsid w:val="007A4B0F"/>
    <w:rsid w:val="007A5DD1"/>
    <w:rsid w:val="007B1F3B"/>
    <w:rsid w:val="007C0069"/>
    <w:rsid w:val="007C79C0"/>
    <w:rsid w:val="007D3CA2"/>
    <w:rsid w:val="007E5799"/>
    <w:rsid w:val="007F175A"/>
    <w:rsid w:val="007F2ECD"/>
    <w:rsid w:val="00800CF4"/>
    <w:rsid w:val="00813AD2"/>
    <w:rsid w:val="008169A6"/>
    <w:rsid w:val="0082186E"/>
    <w:rsid w:val="008228E2"/>
    <w:rsid w:val="0083280B"/>
    <w:rsid w:val="00834DE8"/>
    <w:rsid w:val="00842CA0"/>
    <w:rsid w:val="00854DCB"/>
    <w:rsid w:val="00860C86"/>
    <w:rsid w:val="008641EF"/>
    <w:rsid w:val="008646E6"/>
    <w:rsid w:val="00866475"/>
    <w:rsid w:val="00867254"/>
    <w:rsid w:val="00883B9E"/>
    <w:rsid w:val="00893360"/>
    <w:rsid w:val="008A4B1F"/>
    <w:rsid w:val="008B2A19"/>
    <w:rsid w:val="008B767F"/>
    <w:rsid w:val="008C0B20"/>
    <w:rsid w:val="008D4E53"/>
    <w:rsid w:val="008F42C3"/>
    <w:rsid w:val="008F7E10"/>
    <w:rsid w:val="008F7FA4"/>
    <w:rsid w:val="00907FA6"/>
    <w:rsid w:val="00912280"/>
    <w:rsid w:val="009169DF"/>
    <w:rsid w:val="0092076A"/>
    <w:rsid w:val="00925555"/>
    <w:rsid w:val="00927FF3"/>
    <w:rsid w:val="009313D2"/>
    <w:rsid w:val="00937283"/>
    <w:rsid w:val="0094124E"/>
    <w:rsid w:val="00957422"/>
    <w:rsid w:val="009654E0"/>
    <w:rsid w:val="00966C24"/>
    <w:rsid w:val="009879BD"/>
    <w:rsid w:val="00995447"/>
    <w:rsid w:val="009B3B06"/>
    <w:rsid w:val="009B49A4"/>
    <w:rsid w:val="009B74C6"/>
    <w:rsid w:val="009B7EF0"/>
    <w:rsid w:val="009C01D1"/>
    <w:rsid w:val="009C47F7"/>
    <w:rsid w:val="009C627D"/>
    <w:rsid w:val="009C65C3"/>
    <w:rsid w:val="009D0D57"/>
    <w:rsid w:val="009E12E4"/>
    <w:rsid w:val="00A0554C"/>
    <w:rsid w:val="00A06663"/>
    <w:rsid w:val="00A150F0"/>
    <w:rsid w:val="00A22246"/>
    <w:rsid w:val="00A241FE"/>
    <w:rsid w:val="00A25CB4"/>
    <w:rsid w:val="00A358A9"/>
    <w:rsid w:val="00A35CD0"/>
    <w:rsid w:val="00A44D6C"/>
    <w:rsid w:val="00A57B08"/>
    <w:rsid w:val="00A606B1"/>
    <w:rsid w:val="00A66771"/>
    <w:rsid w:val="00A8117A"/>
    <w:rsid w:val="00A820C3"/>
    <w:rsid w:val="00A830DE"/>
    <w:rsid w:val="00A850DC"/>
    <w:rsid w:val="00A91A72"/>
    <w:rsid w:val="00A92F33"/>
    <w:rsid w:val="00A9639B"/>
    <w:rsid w:val="00A965C2"/>
    <w:rsid w:val="00AA38E6"/>
    <w:rsid w:val="00AA5367"/>
    <w:rsid w:val="00AB4DC9"/>
    <w:rsid w:val="00AC0B64"/>
    <w:rsid w:val="00AC1A69"/>
    <w:rsid w:val="00AD3C5B"/>
    <w:rsid w:val="00AE4F02"/>
    <w:rsid w:val="00AF4B0E"/>
    <w:rsid w:val="00AF4F23"/>
    <w:rsid w:val="00AF5FC0"/>
    <w:rsid w:val="00B049A4"/>
    <w:rsid w:val="00B04E5C"/>
    <w:rsid w:val="00B1045C"/>
    <w:rsid w:val="00B32DA1"/>
    <w:rsid w:val="00B37FFB"/>
    <w:rsid w:val="00B43B95"/>
    <w:rsid w:val="00B43C56"/>
    <w:rsid w:val="00B54081"/>
    <w:rsid w:val="00B55747"/>
    <w:rsid w:val="00B704AE"/>
    <w:rsid w:val="00B723E4"/>
    <w:rsid w:val="00B85749"/>
    <w:rsid w:val="00B93737"/>
    <w:rsid w:val="00B945EA"/>
    <w:rsid w:val="00B96893"/>
    <w:rsid w:val="00BA0A5A"/>
    <w:rsid w:val="00BC0D30"/>
    <w:rsid w:val="00BC329E"/>
    <w:rsid w:val="00BC4BB1"/>
    <w:rsid w:val="00BC7D72"/>
    <w:rsid w:val="00BE1F34"/>
    <w:rsid w:val="00BE2C9D"/>
    <w:rsid w:val="00BE5054"/>
    <w:rsid w:val="00BE5C1D"/>
    <w:rsid w:val="00BE7E66"/>
    <w:rsid w:val="00C054CD"/>
    <w:rsid w:val="00C16794"/>
    <w:rsid w:val="00C240E2"/>
    <w:rsid w:val="00C3695F"/>
    <w:rsid w:val="00C451EE"/>
    <w:rsid w:val="00C55F55"/>
    <w:rsid w:val="00C55F5C"/>
    <w:rsid w:val="00C57396"/>
    <w:rsid w:val="00C80D9B"/>
    <w:rsid w:val="00C86EC1"/>
    <w:rsid w:val="00C92FBF"/>
    <w:rsid w:val="00CA51CB"/>
    <w:rsid w:val="00CA6D9B"/>
    <w:rsid w:val="00CC4247"/>
    <w:rsid w:val="00CC75CC"/>
    <w:rsid w:val="00CD0CB6"/>
    <w:rsid w:val="00CD32E9"/>
    <w:rsid w:val="00CD5C1E"/>
    <w:rsid w:val="00CE07F2"/>
    <w:rsid w:val="00CE5C90"/>
    <w:rsid w:val="00CF6BDF"/>
    <w:rsid w:val="00CF7D44"/>
    <w:rsid w:val="00D03AE2"/>
    <w:rsid w:val="00D145E0"/>
    <w:rsid w:val="00D14C03"/>
    <w:rsid w:val="00D26883"/>
    <w:rsid w:val="00D319AA"/>
    <w:rsid w:val="00D44042"/>
    <w:rsid w:val="00D47936"/>
    <w:rsid w:val="00D521E7"/>
    <w:rsid w:val="00D746E5"/>
    <w:rsid w:val="00D77392"/>
    <w:rsid w:val="00D80E48"/>
    <w:rsid w:val="00D86CAA"/>
    <w:rsid w:val="00D92957"/>
    <w:rsid w:val="00DB0100"/>
    <w:rsid w:val="00DB4FA3"/>
    <w:rsid w:val="00DB7840"/>
    <w:rsid w:val="00DC17B6"/>
    <w:rsid w:val="00DC2DFA"/>
    <w:rsid w:val="00DC52D8"/>
    <w:rsid w:val="00DC6A98"/>
    <w:rsid w:val="00DD4ACA"/>
    <w:rsid w:val="00DD4D33"/>
    <w:rsid w:val="00DD5D52"/>
    <w:rsid w:val="00DE783A"/>
    <w:rsid w:val="00DF6D8A"/>
    <w:rsid w:val="00E03DF5"/>
    <w:rsid w:val="00E04605"/>
    <w:rsid w:val="00E06D3D"/>
    <w:rsid w:val="00E07A68"/>
    <w:rsid w:val="00E10A71"/>
    <w:rsid w:val="00E23218"/>
    <w:rsid w:val="00E42F9F"/>
    <w:rsid w:val="00E51D5C"/>
    <w:rsid w:val="00E52DDD"/>
    <w:rsid w:val="00E52FC3"/>
    <w:rsid w:val="00E71039"/>
    <w:rsid w:val="00E76886"/>
    <w:rsid w:val="00E819BF"/>
    <w:rsid w:val="00E85276"/>
    <w:rsid w:val="00E92EB5"/>
    <w:rsid w:val="00E97404"/>
    <w:rsid w:val="00EA2F26"/>
    <w:rsid w:val="00EA5BA4"/>
    <w:rsid w:val="00EA6D34"/>
    <w:rsid w:val="00EB40A5"/>
    <w:rsid w:val="00EC402F"/>
    <w:rsid w:val="00ED2D01"/>
    <w:rsid w:val="00EE2E25"/>
    <w:rsid w:val="00EE5043"/>
    <w:rsid w:val="00EE7759"/>
    <w:rsid w:val="00EF213E"/>
    <w:rsid w:val="00EF61B4"/>
    <w:rsid w:val="00EF6D27"/>
    <w:rsid w:val="00F02CC1"/>
    <w:rsid w:val="00F239E3"/>
    <w:rsid w:val="00F242E6"/>
    <w:rsid w:val="00F3567E"/>
    <w:rsid w:val="00F400B7"/>
    <w:rsid w:val="00F408EE"/>
    <w:rsid w:val="00F46B93"/>
    <w:rsid w:val="00F47E4C"/>
    <w:rsid w:val="00F56262"/>
    <w:rsid w:val="00F67604"/>
    <w:rsid w:val="00F701E3"/>
    <w:rsid w:val="00F7051B"/>
    <w:rsid w:val="00F86DEA"/>
    <w:rsid w:val="00F87148"/>
    <w:rsid w:val="00F9394E"/>
    <w:rsid w:val="00F97611"/>
    <w:rsid w:val="00F9793C"/>
    <w:rsid w:val="00FA3AE3"/>
    <w:rsid w:val="00FC0C98"/>
    <w:rsid w:val="00FC16F3"/>
    <w:rsid w:val="00FC2CDB"/>
    <w:rsid w:val="00FD7D3A"/>
    <w:rsid w:val="00FE6B97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51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B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5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701A.460DF4D0" TargetMode="External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3%20-%20Qld\Qld-analysis-23-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3%20-%20Qld\Qld-analysis-23-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3%20-%20Qld\Qld-analysis-23-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488582131117108E-2"/>
          <c:y val="0.11547344110854503"/>
          <c:w val="0.90299824172463883"/>
          <c:h val="0.72721281664272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Working!$B$39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Working!$B$40:$B$43</c:f>
              <c:numCache>
                <c:formatCode>#,##0.0</c:formatCode>
                <c:ptCount val="4"/>
                <c:pt idx="0">
                  <c:v>60.1</c:v>
                </c:pt>
                <c:pt idx="1">
                  <c:v>74.900000000000006</c:v>
                </c:pt>
                <c:pt idx="2">
                  <c:v>86.2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99-4AB8-8E57-2332BE5D43D7}"/>
            </c:ext>
          </c:extLst>
        </c:ser>
        <c:ser>
          <c:idx val="1"/>
          <c:order val="1"/>
          <c:tx>
            <c:strRef>
              <c:f>Working!$C$39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Working!$C$40:$C$43</c:f>
              <c:numCache>
                <c:formatCode>#,##0.0</c:formatCode>
                <c:ptCount val="4"/>
                <c:pt idx="0">
                  <c:v>57.5</c:v>
                </c:pt>
                <c:pt idx="1">
                  <c:v>79.099999999999994</c:v>
                </c:pt>
                <c:pt idx="2">
                  <c:v>84.1</c:v>
                </c:pt>
                <c:pt idx="3">
                  <c:v>17.7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99-4AB8-8E57-2332BE5D43D7}"/>
            </c:ext>
          </c:extLst>
        </c:ser>
        <c:ser>
          <c:idx val="2"/>
          <c:order val="2"/>
          <c:tx>
            <c:strRef>
              <c:f>Working!$D$39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Working!$D$40:$D$43</c:f>
              <c:numCache>
                <c:formatCode>#,##0.0</c:formatCode>
                <c:ptCount val="4"/>
                <c:pt idx="0">
                  <c:v>61.849000000000004</c:v>
                </c:pt>
                <c:pt idx="1">
                  <c:v>81.322000000000003</c:v>
                </c:pt>
                <c:pt idx="2">
                  <c:v>106.30600000000001</c:v>
                </c:pt>
                <c:pt idx="3">
                  <c:v>19.271000000000001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99-4AB8-8E57-2332BE5D43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999115784"/>
        <c:axId val="999117224"/>
      </c:barChart>
      <c:catAx>
        <c:axId val="999115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9117224"/>
        <c:crosses val="autoZero"/>
        <c:auto val="1"/>
        <c:lblAlgn val="ctr"/>
        <c:lblOffset val="100"/>
        <c:noMultiLvlLbl val="0"/>
      </c:catAx>
      <c:valAx>
        <c:axId val="999117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chemeClr val="tx1"/>
                    </a:solidFill>
                  </a:rPr>
                  <a:t> $m</a:t>
                </a:r>
              </a:p>
            </c:rich>
          </c:tx>
          <c:layout>
            <c:manualLayout>
              <c:xMode val="edge"/>
              <c:yMode val="edge"/>
              <c:x val="5.0457253965264749E-3"/>
              <c:y val="7.2091796839482821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911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885649495900192"/>
          <c:y val="4.9870674999294727E-2"/>
          <c:w val="0.13606386099052872"/>
          <c:h val="0.174724954992635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025349578993261E-2"/>
          <c:y val="0.12009237875288684"/>
          <c:w val="0.92555791585363212"/>
          <c:h val="0.606678340946106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Working!$B$48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Working!$A$49:$A$55</c:f>
              <c:strCache>
                <c:ptCount val="7"/>
                <c:pt idx="0">
                  <c:v>Music </c:v>
                </c:pt>
                <c:pt idx="1">
                  <c:v>Theatre</c:v>
                </c:pt>
                <c:pt idx="2">
                  <c:v>Performing arts venues</c:v>
                </c:pt>
                <c:pt idx="3">
                  <c:v>Film &amp; video production &amp; distribution</c:v>
                </c:pt>
                <c:pt idx="4">
                  <c:v>Arts education</c:v>
                </c:pt>
                <c:pt idx="5">
                  <c:v>Community arts &amp; cultural development</c:v>
                </c:pt>
                <c:pt idx="6">
                  <c:v>Arts administration</c:v>
                </c:pt>
              </c:strCache>
            </c:strRef>
          </c:cat>
          <c:val>
            <c:numRef>
              <c:f>Working!$B$49:$B$55</c:f>
              <c:numCache>
                <c:formatCode>#,##0.0</c:formatCode>
                <c:ptCount val="7"/>
                <c:pt idx="0">
                  <c:v>14</c:v>
                </c:pt>
                <c:pt idx="1">
                  <c:v>9.3000000000000007</c:v>
                </c:pt>
                <c:pt idx="2">
                  <c:v>117.4</c:v>
                </c:pt>
                <c:pt idx="3">
                  <c:v>12.3</c:v>
                </c:pt>
                <c:pt idx="4">
                  <c:v>43.7</c:v>
                </c:pt>
                <c:pt idx="5">
                  <c:v>6.1</c:v>
                </c:pt>
                <c:pt idx="6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F8-4D95-8860-CE41D3D00AB7}"/>
            </c:ext>
          </c:extLst>
        </c:ser>
        <c:ser>
          <c:idx val="1"/>
          <c:order val="1"/>
          <c:tx>
            <c:strRef>
              <c:f>Working!$C$48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Working!$A$49:$A$55</c:f>
              <c:strCache>
                <c:ptCount val="7"/>
                <c:pt idx="0">
                  <c:v>Music </c:v>
                </c:pt>
                <c:pt idx="1">
                  <c:v>Theatre</c:v>
                </c:pt>
                <c:pt idx="2">
                  <c:v>Performing arts venues</c:v>
                </c:pt>
                <c:pt idx="3">
                  <c:v>Film &amp; video production &amp; distribution</c:v>
                </c:pt>
                <c:pt idx="4">
                  <c:v>Arts education</c:v>
                </c:pt>
                <c:pt idx="5">
                  <c:v>Community arts &amp; cultural development</c:v>
                </c:pt>
                <c:pt idx="6">
                  <c:v>Arts administration</c:v>
                </c:pt>
              </c:strCache>
            </c:strRef>
          </c:cat>
          <c:val>
            <c:numRef>
              <c:f>Working!$C$49:$C$55</c:f>
              <c:numCache>
                <c:formatCode>#,##0.0</c:formatCode>
                <c:ptCount val="7"/>
                <c:pt idx="0">
                  <c:v>19.600000000000001</c:v>
                </c:pt>
                <c:pt idx="1">
                  <c:v>7.7</c:v>
                </c:pt>
                <c:pt idx="2">
                  <c:v>120.7</c:v>
                </c:pt>
                <c:pt idx="3">
                  <c:v>11.2</c:v>
                </c:pt>
                <c:pt idx="4">
                  <c:v>47.8</c:v>
                </c:pt>
                <c:pt idx="5">
                  <c:v>8.4</c:v>
                </c:pt>
                <c:pt idx="6">
                  <c:v>10.199999999999999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F8-4D95-8860-CE41D3D00AB7}"/>
            </c:ext>
          </c:extLst>
        </c:ser>
        <c:ser>
          <c:idx val="2"/>
          <c:order val="2"/>
          <c:tx>
            <c:strRef>
              <c:f>Working!$D$48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Working!$A$49:$A$55</c:f>
              <c:strCache>
                <c:ptCount val="7"/>
                <c:pt idx="0">
                  <c:v>Music </c:v>
                </c:pt>
                <c:pt idx="1">
                  <c:v>Theatre</c:v>
                </c:pt>
                <c:pt idx="2">
                  <c:v>Performing arts venues</c:v>
                </c:pt>
                <c:pt idx="3">
                  <c:v>Film &amp; video production &amp; distribution</c:v>
                </c:pt>
                <c:pt idx="4">
                  <c:v>Arts education</c:v>
                </c:pt>
                <c:pt idx="5">
                  <c:v>Community arts &amp; cultural development</c:v>
                </c:pt>
                <c:pt idx="6">
                  <c:v>Arts administration</c:v>
                </c:pt>
              </c:strCache>
            </c:strRef>
          </c:cat>
          <c:val>
            <c:numRef>
              <c:f>Working!$D$49:$D$55</c:f>
              <c:numCache>
                <c:formatCode>#,##0.0</c:formatCode>
                <c:ptCount val="7"/>
                <c:pt idx="0">
                  <c:v>20.756</c:v>
                </c:pt>
                <c:pt idx="1">
                  <c:v>10.003</c:v>
                </c:pt>
                <c:pt idx="2">
                  <c:v>122.24</c:v>
                </c:pt>
                <c:pt idx="3">
                  <c:v>42.85</c:v>
                </c:pt>
                <c:pt idx="4">
                  <c:v>52.34</c:v>
                </c:pt>
                <c:pt idx="5">
                  <c:v>11.827</c:v>
                </c:pt>
                <c:pt idx="6">
                  <c:v>10.709000000000001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F8-4D95-8860-CE41D3D00A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1029324664"/>
        <c:axId val="1029330424"/>
      </c:barChart>
      <c:catAx>
        <c:axId val="1029324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9330424"/>
        <c:crosses val="autoZero"/>
        <c:auto val="1"/>
        <c:lblAlgn val="ctr"/>
        <c:lblOffset val="100"/>
        <c:noMultiLvlLbl val="0"/>
      </c:catAx>
      <c:valAx>
        <c:axId val="1029330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6.3863821547385192E-3"/>
              <c:y val="1.674710407157532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9324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144178876862328"/>
          <c:y val="6.6095249533624223E-2"/>
          <c:w val="0.12986850590002813"/>
          <c:h val="0.198037497044971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177999409922595"/>
          <c:y val="5.0808314087759814E-2"/>
          <c:w val="0.67009850750894051"/>
          <c:h val="0.847383241273945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Working!$B$60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Working!$A$61:$A$68</c:f>
              <c:strCache>
                <c:ptCount val="8"/>
                <c:pt idx="0">
                  <c:v>Arts education</c:v>
                </c:pt>
                <c:pt idx="1">
                  <c:v>Film &amp; video production &amp; distribution</c:v>
                </c:pt>
                <c:pt idx="2">
                  <c:v>Performing arts venues</c:v>
                </c:pt>
                <c:pt idx="3">
                  <c:v>Music </c:v>
                </c:pt>
                <c:pt idx="4">
                  <c:v>Archives</c:v>
                </c:pt>
                <c:pt idx="5">
                  <c:v>Libraries</c:v>
                </c:pt>
                <c:pt idx="6">
                  <c:v>Other museums &amp; cultural heritage</c:v>
                </c:pt>
                <c:pt idx="7">
                  <c:v>Art museums</c:v>
                </c:pt>
              </c:strCache>
            </c:strRef>
          </c:cat>
          <c:val>
            <c:numRef>
              <c:f>Working!$B$61:$B$68</c:f>
              <c:numCache>
                <c:formatCode>#,##0.0</c:formatCode>
                <c:ptCount val="8"/>
                <c:pt idx="0">
                  <c:v>52.34</c:v>
                </c:pt>
                <c:pt idx="1">
                  <c:v>42.844999999999999</c:v>
                </c:pt>
                <c:pt idx="2">
                  <c:v>45.015000000000001</c:v>
                </c:pt>
                <c:pt idx="3">
                  <c:v>20.751000000000001</c:v>
                </c:pt>
                <c:pt idx="4">
                  <c:v>18.731000000000002</c:v>
                </c:pt>
                <c:pt idx="5">
                  <c:v>89.662000000000006</c:v>
                </c:pt>
                <c:pt idx="6">
                  <c:v>67.165999999999997</c:v>
                </c:pt>
                <c:pt idx="7">
                  <c:v>61.603000000000002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FE-424D-89D4-344AA9678414}"/>
            </c:ext>
          </c:extLst>
        </c:ser>
        <c:ser>
          <c:idx val="1"/>
          <c:order val="1"/>
          <c:tx>
            <c:strRef>
              <c:f>Working!$C$60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Working!$A$61:$A$68</c:f>
              <c:strCache>
                <c:ptCount val="8"/>
                <c:pt idx="0">
                  <c:v>Arts education</c:v>
                </c:pt>
                <c:pt idx="1">
                  <c:v>Film &amp; video production &amp; distribution</c:v>
                </c:pt>
                <c:pt idx="2">
                  <c:v>Performing arts venues</c:v>
                </c:pt>
                <c:pt idx="3">
                  <c:v>Music </c:v>
                </c:pt>
                <c:pt idx="4">
                  <c:v>Archives</c:v>
                </c:pt>
                <c:pt idx="5">
                  <c:v>Libraries</c:v>
                </c:pt>
                <c:pt idx="6">
                  <c:v>Other museums &amp; cultural heritage</c:v>
                </c:pt>
                <c:pt idx="7">
                  <c:v>Art museums</c:v>
                </c:pt>
              </c:strCache>
            </c:strRef>
          </c:cat>
          <c:val>
            <c:numRef>
              <c:f>Working!$C$61:$C$68</c:f>
              <c:numCache>
                <c:formatCode>#,##0.0</c:formatCode>
                <c:ptCount val="8"/>
                <c:pt idx="0">
                  <c:v>47.8</c:v>
                </c:pt>
                <c:pt idx="1">
                  <c:v>11.2</c:v>
                </c:pt>
                <c:pt idx="2">
                  <c:v>34.799999999999997</c:v>
                </c:pt>
                <c:pt idx="3">
                  <c:v>19.600000000000001</c:v>
                </c:pt>
                <c:pt idx="4">
                  <c:v>17.600000000000001</c:v>
                </c:pt>
                <c:pt idx="5">
                  <c:v>82</c:v>
                </c:pt>
                <c:pt idx="6">
                  <c:v>56.7</c:v>
                </c:pt>
                <c:pt idx="7">
                  <c:v>55.1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FE-424D-89D4-344AA9678414}"/>
            </c:ext>
          </c:extLst>
        </c:ser>
        <c:ser>
          <c:idx val="2"/>
          <c:order val="2"/>
          <c:tx>
            <c:strRef>
              <c:f>Working!$D$60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Working!$A$61:$A$68</c:f>
              <c:strCache>
                <c:ptCount val="8"/>
                <c:pt idx="0">
                  <c:v>Arts education</c:v>
                </c:pt>
                <c:pt idx="1">
                  <c:v>Film &amp; video production &amp; distribution</c:v>
                </c:pt>
                <c:pt idx="2">
                  <c:v>Performing arts venues</c:v>
                </c:pt>
                <c:pt idx="3">
                  <c:v>Music </c:v>
                </c:pt>
                <c:pt idx="4">
                  <c:v>Archives</c:v>
                </c:pt>
                <c:pt idx="5">
                  <c:v>Libraries</c:v>
                </c:pt>
                <c:pt idx="6">
                  <c:v>Other museums &amp; cultural heritage</c:v>
                </c:pt>
                <c:pt idx="7">
                  <c:v>Art museums</c:v>
                </c:pt>
              </c:strCache>
            </c:strRef>
          </c:cat>
          <c:val>
            <c:numRef>
              <c:f>Working!$D$61:$D$68</c:f>
              <c:numCache>
                <c:formatCode>#,##0.0</c:formatCode>
                <c:ptCount val="8"/>
                <c:pt idx="0">
                  <c:v>43.7</c:v>
                </c:pt>
                <c:pt idx="1">
                  <c:v>12.3</c:v>
                </c:pt>
                <c:pt idx="2">
                  <c:v>48.9</c:v>
                </c:pt>
                <c:pt idx="3">
                  <c:v>14</c:v>
                </c:pt>
                <c:pt idx="4">
                  <c:v>19</c:v>
                </c:pt>
                <c:pt idx="5">
                  <c:v>82.8</c:v>
                </c:pt>
                <c:pt idx="6">
                  <c:v>60.5</c:v>
                </c:pt>
                <c:pt idx="7">
                  <c:v>56.4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FE-424D-89D4-344AA96784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989175784"/>
        <c:axId val="989176144"/>
      </c:barChart>
      <c:catAx>
        <c:axId val="989175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9176144"/>
        <c:crosses val="autoZero"/>
        <c:auto val="1"/>
        <c:lblAlgn val="ctr"/>
        <c:lblOffset val="100"/>
        <c:noMultiLvlLbl val="0"/>
      </c:catAx>
      <c:valAx>
        <c:axId val="989176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0.64433298873269806"/>
              <c:y val="0.944499828825744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917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5291258469697817"/>
          <c:y val="7.0382490173497916E-2"/>
          <c:w val="0.11288053373595268"/>
          <c:h val="0.149339820143579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anchor="ctr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B354-8577-4A63-8653-DA277DD762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2025-09-09T03:59:00Z</dcterms:created>
  <dcterms:modified xsi:type="dcterms:W3CDTF">2025-09-10T01:16:00Z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Enabled">
    <vt:lpwstr>true</vt:lpwstr>
  </property>
  <property fmtid="{D5CDD505-2E9C-101B-9397-08002B2CF9AE}" pid="3" name="MSIP_Label_c8e5a7ee-c283-40b0-98eb-fa437df4c031_SetDate">
    <vt:lpwstr>2025-06-30T03:55:56Z</vt:lpwstr>
  </property>
  <property fmtid="{D5CDD505-2E9C-101B-9397-08002B2CF9AE}" pid="4" name="MSIP_Label_c8e5a7ee-c283-40b0-98eb-fa437df4c031_Method">
    <vt:lpwstr>Privileged</vt:lpwstr>
  </property>
  <property fmtid="{D5CDD505-2E9C-101B-9397-08002B2CF9AE}" pid="5" name="MSIP_Label_c8e5a7ee-c283-40b0-98eb-fa437df4c031_Name">
    <vt:lpwstr>OFFICIAL</vt:lpwstr>
  </property>
  <property fmtid="{D5CDD505-2E9C-101B-9397-08002B2CF9AE}" pid="6" name="MSIP_Label_c8e5a7ee-c283-40b0-98eb-fa437df4c031_SiteId">
    <vt:lpwstr>34cdb737-c4fa-4c21-9a34-88ac2d721f88</vt:lpwstr>
  </property>
  <property fmtid="{D5CDD505-2E9C-101B-9397-08002B2CF9AE}" pid="7" name="MSIP_Label_c8e5a7ee-c283-40b0-98eb-fa437df4c031_ActionId">
    <vt:lpwstr>fdb1a919-a7ed-4067-bfb9-34be510e6c92</vt:lpwstr>
  </property>
  <property fmtid="{D5CDD505-2E9C-101B-9397-08002B2CF9AE}" pid="8" name="MSIP_Label_c8e5a7ee-c283-40b0-98eb-fa437df4c031_ContentBits">
    <vt:lpwstr>0</vt:lpwstr>
  </property>
  <property fmtid="{D5CDD505-2E9C-101B-9397-08002B2CF9AE}" pid="9" name="MSIP_Label_c8e5a7ee-c283-40b0-98eb-fa437df4c031_Tag">
    <vt:lpwstr>10, 0, 1, 1</vt:lpwstr>
  </property>
</Properties>
</file>