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237CF" w14:textId="07871BF3" w:rsidR="0094124E" w:rsidRDefault="00CD5C1E" w:rsidP="0094124E">
      <w:pPr>
        <w:ind w:left="-1418"/>
      </w:pPr>
      <w:r>
        <w:rPr>
          <w:noProof/>
        </w:rPr>
        <w:drawing>
          <wp:inline distT="0" distB="0" distL="0" distR="0" wp14:anchorId="0B2096A5" wp14:editId="00E7133E">
            <wp:extent cx="7645481" cy="1400175"/>
            <wp:effectExtent l="0" t="0" r="0" b="0"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221" cy="14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B10E" w14:textId="77777777" w:rsidR="00FC16F3" w:rsidRDefault="00FC16F3" w:rsidP="0094124E">
      <w:pPr>
        <w:ind w:left="-1418"/>
        <w:sectPr w:rsidR="00FC16F3" w:rsidSect="00477982">
          <w:headerReference w:type="even" r:id="rId11"/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0" w:right="1440" w:bottom="1440" w:left="1440" w:header="0" w:footer="0" w:gutter="0"/>
          <w:cols w:space="708"/>
          <w:titlePg/>
          <w:docGrid w:linePitch="360"/>
        </w:sectPr>
      </w:pPr>
    </w:p>
    <w:p w14:paraId="163C2A0C" w14:textId="282DC276" w:rsidR="002117E6" w:rsidRDefault="001D64AC" w:rsidP="00477982">
      <w:pPr>
        <w:pStyle w:val="Heading1"/>
      </w:pPr>
      <w:r>
        <w:t>Cultural Funding by Government—</w:t>
      </w:r>
      <w:r w:rsidR="0070126E">
        <w:t>202</w:t>
      </w:r>
      <w:r w:rsidR="00B81667">
        <w:t>3</w:t>
      </w:r>
      <w:r w:rsidR="000E4262" w:rsidRPr="00D76C4A">
        <w:t>–</w:t>
      </w:r>
      <w:r w:rsidR="0070126E">
        <w:t>2</w:t>
      </w:r>
      <w:r w:rsidR="00B81667">
        <w:t>4</w:t>
      </w:r>
    </w:p>
    <w:p w14:paraId="1D0F157A" w14:textId="77777777" w:rsidR="0027679D" w:rsidRDefault="0027679D" w:rsidP="0027679D">
      <w:pPr>
        <w:pStyle w:val="Heading2"/>
      </w:pPr>
      <w:r>
        <w:rPr>
          <w:szCs w:val="36"/>
        </w:rPr>
        <w:t xml:space="preserve">South Australian </w:t>
      </w:r>
      <w:r w:rsidRPr="00527D9C">
        <w:rPr>
          <w:szCs w:val="36"/>
        </w:rPr>
        <w:t>Government</w:t>
      </w:r>
    </w:p>
    <w:p w14:paraId="2812C33A" w14:textId="7FF93B9C" w:rsidR="00BC2AAF" w:rsidRPr="00A46A1E" w:rsidRDefault="0027679D" w:rsidP="0027679D">
      <w:r w:rsidRPr="00A46A1E">
        <w:t>The estimate of expenditure funded by the South Australian Government in 202</w:t>
      </w:r>
      <w:r w:rsidR="00B81667">
        <w:t>3</w:t>
      </w:r>
      <w:r w:rsidR="00B86CE3" w:rsidRPr="00A0756F">
        <w:rPr>
          <w:color w:val="000000" w:themeColor="text1"/>
        </w:rPr>
        <w:t>–</w:t>
      </w:r>
      <w:r w:rsidRPr="00A46A1E">
        <w:t>2</w:t>
      </w:r>
      <w:r w:rsidR="00B81667">
        <w:t>4</w:t>
      </w:r>
      <w:r w:rsidRPr="00A46A1E">
        <w:t xml:space="preserve"> for cultural activities was </w:t>
      </w:r>
      <w:r w:rsidRPr="00A63C62">
        <w:rPr>
          <w:b/>
        </w:rPr>
        <w:t>$</w:t>
      </w:r>
      <w:r w:rsidR="00A63C62" w:rsidRPr="00A63C62">
        <w:rPr>
          <w:b/>
        </w:rPr>
        <w:t>373.7</w:t>
      </w:r>
      <w:r w:rsidRPr="00A63C62">
        <w:rPr>
          <w:b/>
        </w:rPr>
        <w:t>m</w:t>
      </w:r>
      <w:r w:rsidR="00B37E98" w:rsidRPr="00B37E98">
        <w:rPr>
          <w:bCs/>
        </w:rPr>
        <w:t>,</w:t>
      </w:r>
      <w:r w:rsidRPr="00A63C62">
        <w:t xml:space="preserve"> </w:t>
      </w:r>
      <w:r w:rsidRPr="00A46A1E">
        <w:t>representing a</w:t>
      </w:r>
      <w:r w:rsidR="00842479" w:rsidRPr="00A46A1E">
        <w:t>n in</w:t>
      </w:r>
      <w:r w:rsidR="001800D2" w:rsidRPr="00A46A1E">
        <w:t>crease</w:t>
      </w:r>
      <w:r w:rsidRPr="00A46A1E">
        <w:t xml:space="preserve"> of </w:t>
      </w:r>
      <w:r w:rsidR="00A63C62" w:rsidRPr="00A63C62">
        <w:t>26</w:t>
      </w:r>
      <w:r w:rsidRPr="00A63C62">
        <w:t>% or $</w:t>
      </w:r>
      <w:r w:rsidR="00A63C62" w:rsidRPr="00A63C62">
        <w:t>77.7</w:t>
      </w:r>
      <w:r w:rsidRPr="00A63C62">
        <w:t>m from</w:t>
      </w:r>
      <w:r w:rsidRPr="00A46A1E">
        <w:t xml:space="preserve"> 20</w:t>
      </w:r>
      <w:r w:rsidR="00842479" w:rsidRPr="00A46A1E">
        <w:t>2</w:t>
      </w:r>
      <w:r w:rsidR="00B81667">
        <w:t>1</w:t>
      </w:r>
      <w:r w:rsidR="00B86CE3" w:rsidRPr="00A0756F">
        <w:rPr>
          <w:color w:val="000000" w:themeColor="text1"/>
        </w:rPr>
        <w:t>–</w:t>
      </w:r>
      <w:r w:rsidRPr="00A46A1E">
        <w:t>2</w:t>
      </w:r>
      <w:r w:rsidR="00B81667">
        <w:t>2</w:t>
      </w:r>
      <w:r w:rsidR="00FF2E4D" w:rsidRPr="00A46A1E">
        <w:t>.</w:t>
      </w:r>
    </w:p>
    <w:p w14:paraId="2E7CBEF8" w14:textId="438ADD64" w:rsidR="0027679D" w:rsidRPr="00503CD4" w:rsidRDefault="0027679D" w:rsidP="0027679D">
      <w:pPr>
        <w:pStyle w:val="Tablefigureheading"/>
        <w:rPr>
          <w:color w:val="00B0F0"/>
        </w:rPr>
      </w:pPr>
      <w:r>
        <w:t xml:space="preserve">Table 1. South Australian Government cultural </w:t>
      </w:r>
      <w:r w:rsidRPr="00A46A1E">
        <w:t xml:space="preserve">expenditure, </w:t>
      </w:r>
      <w:r w:rsidR="00AA620D" w:rsidRPr="00A46A1E">
        <w:t>20</w:t>
      </w:r>
      <w:r w:rsidR="00B81667">
        <w:t>20</w:t>
      </w:r>
      <w:r w:rsidR="00B86CE3" w:rsidRPr="00A0756F">
        <w:rPr>
          <w:color w:val="000000" w:themeColor="text1"/>
        </w:rPr>
        <w:t>–</w:t>
      </w:r>
      <w:r w:rsidR="00B81667">
        <w:t>21</w:t>
      </w:r>
      <w:r w:rsidR="00AA620D" w:rsidRPr="00A46A1E">
        <w:t xml:space="preserve"> to 20</w:t>
      </w:r>
      <w:r w:rsidR="00B81667">
        <w:t>23</w:t>
      </w:r>
      <w:r w:rsidR="00B86CE3" w:rsidRPr="00A0756F">
        <w:rPr>
          <w:color w:val="000000" w:themeColor="text1"/>
        </w:rPr>
        <w:t>–</w:t>
      </w:r>
      <w:r w:rsidR="00B81667">
        <w:t>24</w:t>
      </w:r>
      <w:r w:rsidR="00C94DDE">
        <w:rPr>
          <w:rStyle w:val="FootnoteReference"/>
        </w:rPr>
        <w:footnoteReference w:id="1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Table — South Australian Government cultural expenditure, 2015–16 to 2017–18."/>
      </w:tblPr>
      <w:tblGrid>
        <w:gridCol w:w="1330"/>
        <w:gridCol w:w="1738"/>
        <w:gridCol w:w="2401"/>
      </w:tblGrid>
      <w:tr w:rsidR="0027679D" w14:paraId="6F13FEB4" w14:textId="77777777" w:rsidTr="00BE602D">
        <w:trPr>
          <w:cantSplit/>
          <w:trHeight w:val="255"/>
          <w:tblHeader/>
        </w:trPr>
        <w:tc>
          <w:tcPr>
            <w:tcW w:w="1330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02B70AD6" w14:textId="561B5DCB" w:rsidR="0027679D" w:rsidRPr="00A0756F" w:rsidRDefault="00B81667" w:rsidP="000E4262">
            <w:pPr>
              <w:pStyle w:val="Tablerowcolumnheading"/>
              <w:jc w:val="center"/>
              <w:rPr>
                <w:color w:val="000000" w:themeColor="text1"/>
              </w:rPr>
            </w:pPr>
            <w:r w:rsidRPr="00A0756F">
              <w:rPr>
                <w:color w:val="000000" w:themeColor="text1"/>
              </w:rPr>
              <w:t>2020–21</w:t>
            </w:r>
            <w:r w:rsidRPr="00A0756F">
              <w:rPr>
                <w:rStyle w:val="FootnoteReference"/>
                <w:b w:val="0"/>
                <w:bCs w:val="0"/>
                <w:color w:val="000000" w:themeColor="text1"/>
              </w:rPr>
              <w:footnoteReference w:id="2"/>
            </w:r>
          </w:p>
        </w:tc>
        <w:tc>
          <w:tcPr>
            <w:tcW w:w="1738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432765F2" w14:textId="798BD581" w:rsidR="0027679D" w:rsidRPr="00A0756F" w:rsidRDefault="00B81667" w:rsidP="000E4262">
            <w:pPr>
              <w:pStyle w:val="Tablerowcolumnheadingcentred"/>
              <w:rPr>
                <w:color w:val="000000" w:themeColor="text1"/>
              </w:rPr>
            </w:pPr>
            <w:r w:rsidRPr="00A0756F">
              <w:rPr>
                <w:color w:val="000000" w:themeColor="text1"/>
              </w:rPr>
              <w:t>2021–22</w:t>
            </w:r>
            <w:r w:rsidRPr="00A0756F">
              <w:rPr>
                <w:rStyle w:val="FootnoteReference"/>
                <w:b w:val="0"/>
                <w:bCs w:val="0"/>
                <w:color w:val="000000" w:themeColor="text1"/>
              </w:rPr>
              <w:footnoteReference w:id="3"/>
            </w:r>
          </w:p>
        </w:tc>
        <w:tc>
          <w:tcPr>
            <w:tcW w:w="240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597EC337" w14:textId="2291C07D" w:rsidR="0027679D" w:rsidRPr="00A0756F" w:rsidRDefault="0027679D" w:rsidP="000E4262">
            <w:pPr>
              <w:pStyle w:val="Tablerowcolumnheadingcentred"/>
              <w:rPr>
                <w:color w:val="000000" w:themeColor="text1"/>
              </w:rPr>
            </w:pPr>
            <w:r w:rsidRPr="00A0756F">
              <w:rPr>
                <w:color w:val="000000" w:themeColor="text1"/>
              </w:rPr>
              <w:t>202</w:t>
            </w:r>
            <w:r w:rsidR="00B81667">
              <w:rPr>
                <w:color w:val="000000" w:themeColor="text1"/>
              </w:rPr>
              <w:t>3</w:t>
            </w:r>
            <w:r w:rsidR="0000313A" w:rsidRPr="00A0756F">
              <w:rPr>
                <w:color w:val="000000" w:themeColor="text1"/>
              </w:rPr>
              <w:t>–</w:t>
            </w:r>
            <w:r w:rsidR="00B81667">
              <w:rPr>
                <w:color w:val="000000" w:themeColor="text1"/>
              </w:rPr>
              <w:t>24</w:t>
            </w:r>
          </w:p>
        </w:tc>
      </w:tr>
      <w:tr w:rsidR="00A46A1E" w:rsidRPr="00A46A1E" w14:paraId="21B2D406" w14:textId="77777777" w:rsidTr="00BE602D">
        <w:trPr>
          <w:cantSplit/>
          <w:trHeight w:val="227"/>
        </w:trPr>
        <w:tc>
          <w:tcPr>
            <w:tcW w:w="13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1F248B" w14:textId="6630F528" w:rsidR="0027679D" w:rsidRPr="00A46A1E" w:rsidRDefault="00B81667" w:rsidP="000E4262">
            <w:pPr>
              <w:pStyle w:val="Tabletext"/>
              <w:jc w:val="center"/>
            </w:pPr>
            <w:r w:rsidRPr="00A46A1E">
              <w:t>$233.3m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C9CABA" w14:textId="3197B217" w:rsidR="0027679D" w:rsidRPr="00A46A1E" w:rsidRDefault="00B81667" w:rsidP="000E4262">
            <w:pPr>
              <w:pStyle w:val="Tabletextcentred"/>
            </w:pPr>
            <w:r w:rsidRPr="00A46A1E">
              <w:t>$296.0 ↑27%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732080" w14:textId="436D7799" w:rsidR="0027679D" w:rsidRPr="00A46A1E" w:rsidRDefault="00A63C62" w:rsidP="000E4262">
            <w:pPr>
              <w:pStyle w:val="Tabletextcentred"/>
            </w:pPr>
            <w:r w:rsidRPr="00A46A1E">
              <w:t>$</w:t>
            </w:r>
            <w:r>
              <w:t>373</w:t>
            </w:r>
            <w:r w:rsidRPr="00A46A1E">
              <w:t>.</w:t>
            </w:r>
            <w:r>
              <w:t>7</w:t>
            </w:r>
            <w:r w:rsidRPr="00A46A1E">
              <w:t xml:space="preserve"> ↑2</w:t>
            </w:r>
            <w:r>
              <w:t>6</w:t>
            </w:r>
            <w:r w:rsidRPr="00A46A1E">
              <w:t>%</w:t>
            </w:r>
          </w:p>
        </w:tc>
      </w:tr>
    </w:tbl>
    <w:p w14:paraId="647CB807" w14:textId="7DBB0078" w:rsidR="0027679D" w:rsidRPr="00A46A1E" w:rsidRDefault="0027679D" w:rsidP="0027679D">
      <w:pPr>
        <w:pStyle w:val="ListParagraph"/>
        <w:numPr>
          <w:ilvl w:val="0"/>
          <w:numId w:val="6"/>
        </w:numPr>
        <w:spacing w:before="120"/>
        <w:ind w:left="567" w:hanging="567"/>
      </w:pPr>
      <w:r w:rsidRPr="00A46A1E">
        <w:t xml:space="preserve">Recurrent expenses accounted for </w:t>
      </w:r>
      <w:r w:rsidR="00A63C62" w:rsidRPr="00A63C62">
        <w:t>53</w:t>
      </w:r>
      <w:r w:rsidRPr="00A63C62">
        <w:t>% ($</w:t>
      </w:r>
      <w:r w:rsidR="00A63C62" w:rsidRPr="00A63C62">
        <w:t>199.7</w:t>
      </w:r>
      <w:r w:rsidRPr="00A63C62">
        <w:t>m)</w:t>
      </w:r>
      <w:r w:rsidRPr="00A46A1E">
        <w:t xml:space="preserve"> of funded cultural expenditure. </w:t>
      </w:r>
    </w:p>
    <w:p w14:paraId="1FACDA2F" w14:textId="79C033FC" w:rsidR="0027679D" w:rsidRPr="00A46A1E" w:rsidRDefault="0027679D" w:rsidP="0027679D">
      <w:pPr>
        <w:pStyle w:val="ListParagraph"/>
        <w:numPr>
          <w:ilvl w:val="0"/>
          <w:numId w:val="6"/>
        </w:numPr>
        <w:ind w:left="567" w:hanging="567"/>
      </w:pPr>
      <w:r w:rsidRPr="00A46A1E">
        <w:t xml:space="preserve">Capital expenditure was </w:t>
      </w:r>
      <w:r w:rsidRPr="00A63C62">
        <w:t>$</w:t>
      </w:r>
      <w:r w:rsidR="00A63C62" w:rsidRPr="00A63C62">
        <w:t>174.0</w:t>
      </w:r>
      <w:r w:rsidRPr="00A63C62">
        <w:t>m</w:t>
      </w:r>
      <w:r w:rsidR="00A63C62">
        <w:t>, an increase of 232% ($121.5</w:t>
      </w:r>
      <w:r w:rsidR="005F7F47">
        <w:t>m</w:t>
      </w:r>
      <w:r w:rsidR="00A63C62">
        <w:t>) from 2021</w:t>
      </w:r>
      <w:r w:rsidR="003D5116" w:rsidRPr="00A0756F">
        <w:rPr>
          <w:color w:val="000000" w:themeColor="text1"/>
        </w:rPr>
        <w:t>–</w:t>
      </w:r>
      <w:r w:rsidR="00A63C62">
        <w:t>22</w:t>
      </w:r>
      <w:r w:rsidR="00F56B2A">
        <w:t xml:space="preserve">. </w:t>
      </w:r>
      <w:r w:rsidR="00A63C62">
        <w:t xml:space="preserve">This variation is </w:t>
      </w:r>
      <w:r w:rsidR="00F56B2A">
        <w:t xml:space="preserve">due to </w:t>
      </w:r>
      <w:r w:rsidR="00A63C62">
        <w:t xml:space="preserve">an increase in </w:t>
      </w:r>
      <w:r w:rsidR="00A63C62" w:rsidRPr="00A63C62">
        <w:rPr>
          <w:i/>
          <w:iCs/>
        </w:rPr>
        <w:t>Performing arts venues</w:t>
      </w:r>
      <w:r w:rsidR="00A63C62">
        <w:t xml:space="preserve"> capital expenditure of </w:t>
      </w:r>
      <w:r w:rsidR="0089363F" w:rsidRPr="00F97C59">
        <w:t>$</w:t>
      </w:r>
      <w:r w:rsidR="00A63C62" w:rsidRPr="00F97C59">
        <w:t>1</w:t>
      </w:r>
      <w:r w:rsidR="00A63C62">
        <w:t>32.8m (874%).</w:t>
      </w:r>
    </w:p>
    <w:p w14:paraId="453AF74B" w14:textId="5F576A8F" w:rsidR="0027679D" w:rsidRPr="00A46A1E" w:rsidRDefault="0027679D" w:rsidP="0027679D">
      <w:pPr>
        <w:pStyle w:val="ListParagraph"/>
        <w:numPr>
          <w:ilvl w:val="0"/>
          <w:numId w:val="6"/>
        </w:numPr>
        <w:ind w:left="567" w:hanging="567"/>
      </w:pPr>
      <w:r w:rsidRPr="00A46A1E">
        <w:t>The estimate of per person funding</w:t>
      </w:r>
      <w:r w:rsidR="001800D2" w:rsidRPr="00A46A1E">
        <w:t xml:space="preserve"> </w:t>
      </w:r>
      <w:r w:rsidRPr="00A63C62">
        <w:t>was $</w:t>
      </w:r>
      <w:r w:rsidR="00A63C62" w:rsidRPr="00A63C62">
        <w:t>200.25</w:t>
      </w:r>
      <w:r w:rsidR="008E036D" w:rsidRPr="00A46A1E">
        <w:t>.</w:t>
      </w:r>
    </w:p>
    <w:p w14:paraId="022DD742" w14:textId="194D3A41" w:rsidR="0027679D" w:rsidRPr="00A46A1E" w:rsidRDefault="0027679D" w:rsidP="0027679D">
      <w:r w:rsidRPr="00A46A1E">
        <w:t xml:space="preserve">Funds </w:t>
      </w:r>
      <w:r w:rsidR="00F91E25">
        <w:t>for</w:t>
      </w:r>
      <w:r w:rsidR="00E1035D" w:rsidRPr="00A46A1E">
        <w:t xml:space="preserve"> Total</w:t>
      </w:r>
      <w:r w:rsidRPr="00A46A1E">
        <w:t xml:space="preserve"> </w:t>
      </w:r>
      <w:r w:rsidRPr="00F8251E">
        <w:rPr>
          <w:b/>
          <w:bCs/>
          <w:i/>
        </w:rPr>
        <w:t>Heritage</w:t>
      </w:r>
      <w:r w:rsidRPr="00A46A1E">
        <w:t xml:space="preserve"> activities</w:t>
      </w:r>
      <w:r w:rsidR="00E1035D" w:rsidRPr="00A46A1E">
        <w:t xml:space="preserve"> (recurrent and </w:t>
      </w:r>
      <w:r w:rsidR="00725BF3" w:rsidRPr="00A46A1E">
        <w:t>capital</w:t>
      </w:r>
      <w:r w:rsidR="00E1035D" w:rsidRPr="00A46A1E">
        <w:t>)</w:t>
      </w:r>
      <w:r w:rsidRPr="00A46A1E">
        <w:t xml:space="preserve"> </w:t>
      </w:r>
      <w:r w:rsidR="00B81667" w:rsidRPr="00A63C62">
        <w:t>decreased</w:t>
      </w:r>
      <w:r w:rsidR="00B81667">
        <w:t xml:space="preserve"> </w:t>
      </w:r>
      <w:r w:rsidR="00B81667" w:rsidRPr="00A63C62">
        <w:t>by</w:t>
      </w:r>
      <w:r w:rsidR="006F4C05" w:rsidRPr="00A63C62">
        <w:t xml:space="preserve"> </w:t>
      </w:r>
      <w:r w:rsidR="00A63C62" w:rsidRPr="00A63C62">
        <w:t>13</w:t>
      </w:r>
      <w:r w:rsidRPr="00A63C62">
        <w:t>%</w:t>
      </w:r>
      <w:r w:rsidR="006F4C05" w:rsidRPr="00A63C62">
        <w:t xml:space="preserve"> (or $</w:t>
      </w:r>
      <w:r w:rsidR="00A63C62" w:rsidRPr="00A63C62">
        <w:t>15.4</w:t>
      </w:r>
      <w:r w:rsidR="006F4C05" w:rsidRPr="00A63C62">
        <w:t>m)</w:t>
      </w:r>
      <w:r w:rsidR="0037364C" w:rsidRPr="00A63C62">
        <w:t xml:space="preserve"> </w:t>
      </w:r>
      <w:r w:rsidR="006F4C05" w:rsidRPr="00A63C62">
        <w:t>to</w:t>
      </w:r>
      <w:r w:rsidRPr="00A63C62">
        <w:t xml:space="preserve"> $</w:t>
      </w:r>
      <w:r w:rsidR="00A63C62" w:rsidRPr="00A63C62">
        <w:t>100.5</w:t>
      </w:r>
      <w:r w:rsidRPr="00A63C62">
        <w:t>m</w:t>
      </w:r>
      <w:r w:rsidR="0037364C" w:rsidRPr="00A46A1E">
        <w:t>.</w:t>
      </w:r>
    </w:p>
    <w:p w14:paraId="33A7BEBE" w14:textId="23A6B828" w:rsidR="0027679D" w:rsidRPr="00A46A1E" w:rsidRDefault="00445197" w:rsidP="0027679D">
      <w:r w:rsidRPr="00DD7EDE">
        <w:t>E</w:t>
      </w:r>
      <w:r w:rsidR="0027679D" w:rsidRPr="00DD7EDE">
        <w:t xml:space="preserve">xpenditure </w:t>
      </w:r>
      <w:r w:rsidR="00A63C62" w:rsidRPr="00DD7EDE">
        <w:t>decreased in</w:t>
      </w:r>
      <w:r w:rsidR="0027679D" w:rsidRPr="00DD7EDE">
        <w:t xml:space="preserve"> </w:t>
      </w:r>
      <w:r w:rsidR="00DD7EDE">
        <w:t xml:space="preserve">the categories of </w:t>
      </w:r>
      <w:r w:rsidR="0027679D" w:rsidRPr="00DD7EDE">
        <w:rPr>
          <w:i/>
        </w:rPr>
        <w:t>Other museums and cultural heritage</w:t>
      </w:r>
      <w:r w:rsidR="00A63C62" w:rsidRPr="00DD7EDE">
        <w:rPr>
          <w:i/>
        </w:rPr>
        <w:t xml:space="preserve"> </w:t>
      </w:r>
      <w:r w:rsidR="00A63C62" w:rsidRPr="00CC6E24">
        <w:rPr>
          <w:iCs/>
        </w:rPr>
        <w:t>(</w:t>
      </w:r>
      <w:r w:rsidR="00DD7EDE" w:rsidRPr="00CC6E24">
        <w:rPr>
          <w:rFonts w:cstheme="minorHAnsi"/>
          <w:iCs/>
        </w:rPr>
        <w:t>↓$15.4m</w:t>
      </w:r>
      <w:r w:rsidR="00A63C62" w:rsidRPr="00CC6E24">
        <w:rPr>
          <w:iCs/>
        </w:rPr>
        <w:t>)</w:t>
      </w:r>
      <w:r w:rsidR="0089363F">
        <w:rPr>
          <w:i/>
        </w:rPr>
        <w:t xml:space="preserve"> </w:t>
      </w:r>
      <w:r w:rsidR="0089363F" w:rsidRPr="00F97C59">
        <w:rPr>
          <w:iCs/>
        </w:rPr>
        <w:t>due</w:t>
      </w:r>
      <w:r w:rsidR="008D4A1F">
        <w:rPr>
          <w:iCs/>
        </w:rPr>
        <w:t xml:space="preserve"> to</w:t>
      </w:r>
      <w:r w:rsidR="0089363F" w:rsidRPr="00F97C59">
        <w:rPr>
          <w:iCs/>
        </w:rPr>
        <w:t xml:space="preserve"> </w:t>
      </w:r>
      <w:r w:rsidR="008D4A1F">
        <w:rPr>
          <w:iCs/>
        </w:rPr>
        <w:t>a reduction in</w:t>
      </w:r>
      <w:r w:rsidR="0089363F" w:rsidRPr="00F97C59">
        <w:rPr>
          <w:iCs/>
        </w:rPr>
        <w:t xml:space="preserve"> capital expenditure </w:t>
      </w:r>
      <w:r w:rsidR="00F97C59" w:rsidRPr="00F97C59">
        <w:rPr>
          <w:iCs/>
        </w:rPr>
        <w:t>from</w:t>
      </w:r>
      <w:r w:rsidR="0089363F" w:rsidRPr="00F97C59">
        <w:rPr>
          <w:iCs/>
        </w:rPr>
        <w:t xml:space="preserve"> 2021</w:t>
      </w:r>
      <w:r w:rsidR="00525943" w:rsidRPr="00A0756F">
        <w:rPr>
          <w:color w:val="000000" w:themeColor="text1"/>
        </w:rPr>
        <w:t>–</w:t>
      </w:r>
      <w:r w:rsidR="0089363F" w:rsidRPr="00F97C59">
        <w:rPr>
          <w:iCs/>
        </w:rPr>
        <w:t>22</w:t>
      </w:r>
      <w:r w:rsidR="00A63C62" w:rsidRPr="00F97C59">
        <w:t xml:space="preserve">, </w:t>
      </w:r>
      <w:r w:rsidR="00DD7EDE" w:rsidRPr="00F97C59">
        <w:rPr>
          <w:i/>
          <w:iCs/>
        </w:rPr>
        <w:t xml:space="preserve">Libraries </w:t>
      </w:r>
      <w:r w:rsidR="00DD7EDE" w:rsidRPr="00F97C59">
        <w:t>(</w:t>
      </w:r>
      <w:r w:rsidR="00DD7EDE" w:rsidRPr="00F97C59">
        <w:rPr>
          <w:rFonts w:cstheme="minorHAnsi"/>
        </w:rPr>
        <w:t>↓$0.1m</w:t>
      </w:r>
      <w:r w:rsidR="0027679D" w:rsidRPr="00F97C59">
        <w:t>)</w:t>
      </w:r>
      <w:r w:rsidR="00DD7EDE" w:rsidRPr="00F97C59">
        <w:t xml:space="preserve"> and</w:t>
      </w:r>
      <w:r w:rsidRPr="00F97C59">
        <w:t xml:space="preserve"> </w:t>
      </w:r>
      <w:r w:rsidRPr="00F97C59">
        <w:rPr>
          <w:i/>
          <w:iCs/>
        </w:rPr>
        <w:t xml:space="preserve">Archives </w:t>
      </w:r>
      <w:r w:rsidRPr="00F97C59">
        <w:t>(</w:t>
      </w:r>
      <w:r w:rsidR="00DD7EDE" w:rsidRPr="00F97C59">
        <w:rPr>
          <w:rFonts w:cstheme="minorHAnsi"/>
        </w:rPr>
        <w:t>↓$0.1m</w:t>
      </w:r>
      <w:r w:rsidRPr="00F97C59">
        <w:t>),</w:t>
      </w:r>
      <w:r w:rsidR="00842479" w:rsidRPr="00F97C59">
        <w:t xml:space="preserve"> with a </w:t>
      </w:r>
      <w:r w:rsidR="00A63C62" w:rsidRPr="00F97C59">
        <w:t>rise</w:t>
      </w:r>
      <w:r w:rsidR="00842479" w:rsidRPr="00F97C59">
        <w:t xml:space="preserve"> in </w:t>
      </w:r>
      <w:r w:rsidR="00DD7EDE" w:rsidRPr="00F97C59">
        <w:rPr>
          <w:i/>
          <w:iCs/>
        </w:rPr>
        <w:t>Art museums</w:t>
      </w:r>
      <w:r w:rsidRPr="00F97C59">
        <w:rPr>
          <w:i/>
          <w:iCs/>
        </w:rPr>
        <w:t xml:space="preserve"> </w:t>
      </w:r>
      <w:r w:rsidR="00842479" w:rsidRPr="00F97C59">
        <w:t>of $</w:t>
      </w:r>
      <w:r w:rsidR="00DD7EDE" w:rsidRPr="00F97C59">
        <w:t>0.3</w:t>
      </w:r>
      <w:r w:rsidRPr="00F97C59">
        <w:t>m</w:t>
      </w:r>
      <w:r w:rsidR="00842479" w:rsidRPr="00F97C59">
        <w:t>.</w:t>
      </w:r>
    </w:p>
    <w:p w14:paraId="454D489B" w14:textId="1A00F852" w:rsidR="0027679D" w:rsidRPr="00A46A1E" w:rsidRDefault="0027679D" w:rsidP="0027679D">
      <w:r w:rsidRPr="00DD7EDE">
        <w:t xml:space="preserve">The largest categories of </w:t>
      </w:r>
      <w:r w:rsidRPr="00DD7EDE">
        <w:rPr>
          <w:i/>
        </w:rPr>
        <w:t>Heritage</w:t>
      </w:r>
      <w:r w:rsidRPr="00DD7EDE">
        <w:t xml:space="preserve"> expenditure were </w:t>
      </w:r>
      <w:r w:rsidRPr="00DD7EDE">
        <w:rPr>
          <w:i/>
        </w:rPr>
        <w:t>Other museums and cultural heritage</w:t>
      </w:r>
      <w:r w:rsidRPr="00DD7EDE">
        <w:t xml:space="preserve"> with $</w:t>
      </w:r>
      <w:r w:rsidR="00DD7EDE" w:rsidRPr="00DD7EDE">
        <w:t>44.5</w:t>
      </w:r>
      <w:r w:rsidR="00842479" w:rsidRPr="00DD7EDE">
        <w:t>m</w:t>
      </w:r>
      <w:r w:rsidRPr="00DD7EDE">
        <w:t xml:space="preserve">, followed by </w:t>
      </w:r>
      <w:r w:rsidRPr="00DD7EDE">
        <w:rPr>
          <w:i/>
        </w:rPr>
        <w:t>Libraries</w:t>
      </w:r>
      <w:r w:rsidRPr="00DD7EDE">
        <w:t xml:space="preserve"> with $</w:t>
      </w:r>
      <w:r w:rsidR="00842479" w:rsidRPr="00DD7EDE">
        <w:t>35.</w:t>
      </w:r>
      <w:r w:rsidR="00DD7EDE" w:rsidRPr="00DD7EDE">
        <w:t>0</w:t>
      </w:r>
      <w:r w:rsidR="00842479" w:rsidRPr="00DD7EDE">
        <w:t>m</w:t>
      </w:r>
      <w:r w:rsidRPr="00DD7EDE">
        <w:t>.</w:t>
      </w:r>
      <w:r w:rsidRPr="00A46A1E">
        <w:t xml:space="preserve"> </w:t>
      </w:r>
    </w:p>
    <w:p w14:paraId="40E73B06" w14:textId="6DCC1C60" w:rsidR="0027679D" w:rsidRPr="00A46A1E" w:rsidRDefault="0027679D" w:rsidP="0027679D">
      <w:pPr>
        <w:pStyle w:val="Tablefigureheading"/>
      </w:pPr>
      <w:bookmarkStart w:id="1" w:name="_Toc524533023"/>
      <w:r w:rsidRPr="00A46A1E">
        <w:t>Figure 1. South Australian Government heritage expenditure</w:t>
      </w:r>
      <w:bookmarkEnd w:id="1"/>
      <w:r w:rsidR="00A46A1E" w:rsidRPr="00A46A1E">
        <w:t xml:space="preserve"> (recurrent and capital)</w:t>
      </w:r>
    </w:p>
    <w:p w14:paraId="726CD055" w14:textId="51C5F5D1" w:rsidR="00842479" w:rsidRPr="00842479" w:rsidRDefault="001C72EC" w:rsidP="00842479">
      <w:pPr>
        <w:rPr>
          <w:lang w:eastAsia="en-US"/>
        </w:rPr>
      </w:pPr>
      <w:r>
        <w:rPr>
          <w:noProof/>
        </w:rPr>
        <w:drawing>
          <wp:inline distT="0" distB="0" distL="0" distR="0" wp14:anchorId="32742AE5" wp14:editId="61F5B228">
            <wp:extent cx="5487035" cy="2449002"/>
            <wp:effectExtent l="0" t="0" r="0" b="8890"/>
            <wp:docPr id="729441794" name="Chart 1" descr="Figure 1. South Australian Government heritage expenditure (recurrent and capital).&#10;A column graph compares expenditure across the heritage categories of Art museums, Other museums and cultural heritage, Libraries and Archives between the financial years of 2020-21, 2021-22 and 2023-24 for the South Australian Government.&#10;2020-21: Art museums $13.2m, Other museums &amp; cultural heritage $36.9m, Libraries $36.4m, Archives $5.9m.&#10;2021-22: Art museums $14.4m, Other museums &amp; cultural heritage $59.9m, Libraries $35.1m, Archives $6.4m.&#10;2023-24: Art museums $14.7m, Other museums &amp; cultural heritage $44.5m, Libraries $35.0m, Archives $6.3m.">
              <a:extLst xmlns:a="http://schemas.openxmlformats.org/drawingml/2006/main">
                <a:ext uri="{FF2B5EF4-FFF2-40B4-BE49-F238E27FC236}">
                  <a16:creationId xmlns:a16="http://schemas.microsoft.com/office/drawing/2014/main" id="{B832683C-7733-4387-BA4B-8988D10376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6A7F8D7" w14:textId="04D18605" w:rsidR="00725BF3" w:rsidRPr="00A46A1E" w:rsidRDefault="0027679D" w:rsidP="00DA7469">
      <w:pPr>
        <w:autoSpaceDE w:val="0"/>
        <w:autoSpaceDN w:val="0"/>
        <w:spacing w:after="0"/>
      </w:pPr>
      <w:r w:rsidRPr="00E8183D">
        <w:t>Funds for</w:t>
      </w:r>
      <w:r w:rsidR="00E1035D">
        <w:t xml:space="preserve"> Total</w:t>
      </w:r>
      <w:r w:rsidRPr="00E8183D">
        <w:t xml:space="preserve"> </w:t>
      </w:r>
      <w:r w:rsidRPr="00F8251E">
        <w:rPr>
          <w:b/>
          <w:bCs/>
          <w:i/>
        </w:rPr>
        <w:t>Arts</w:t>
      </w:r>
      <w:r w:rsidRPr="00E8183D">
        <w:t xml:space="preserve"> activities</w:t>
      </w:r>
      <w:r w:rsidR="00E1035D">
        <w:t xml:space="preserve"> (recurrent and </w:t>
      </w:r>
      <w:r w:rsidR="00725BF3" w:rsidRPr="00A46A1E">
        <w:t>capital)</w:t>
      </w:r>
      <w:r w:rsidRPr="00A46A1E">
        <w:t xml:space="preserve"> </w:t>
      </w:r>
      <w:r w:rsidR="00B81667" w:rsidRPr="001C72EC">
        <w:t>increased</w:t>
      </w:r>
      <w:r w:rsidR="00842479" w:rsidRPr="001C72EC">
        <w:t xml:space="preserve"> by </w:t>
      </w:r>
      <w:r w:rsidRPr="001C72EC">
        <w:t>$</w:t>
      </w:r>
      <w:r w:rsidR="001C72EC" w:rsidRPr="001C72EC">
        <w:t>93.2</w:t>
      </w:r>
      <w:r w:rsidRPr="001C72EC">
        <w:t>m</w:t>
      </w:r>
      <w:r w:rsidR="00842479" w:rsidRPr="001C72EC">
        <w:t xml:space="preserve"> (↑</w:t>
      </w:r>
      <w:r w:rsidR="001C72EC" w:rsidRPr="001C72EC">
        <w:t>5</w:t>
      </w:r>
      <w:r w:rsidR="00C3334D">
        <w:t>2</w:t>
      </w:r>
      <w:r w:rsidR="00842479" w:rsidRPr="001C72EC">
        <w:t>%) to</w:t>
      </w:r>
      <w:r w:rsidR="00377488" w:rsidRPr="001C72EC">
        <w:t xml:space="preserve"> </w:t>
      </w:r>
      <w:r w:rsidR="002240CF" w:rsidRPr="001C72EC">
        <w:t>$</w:t>
      </w:r>
      <w:r w:rsidR="001C72EC" w:rsidRPr="001C72EC">
        <w:t>273.3</w:t>
      </w:r>
      <w:r w:rsidRPr="001C72EC">
        <w:t>m.</w:t>
      </w:r>
      <w:r w:rsidRPr="00A46A1E">
        <w:t xml:space="preserve"> </w:t>
      </w:r>
    </w:p>
    <w:p w14:paraId="56965025" w14:textId="77777777" w:rsidR="00226CF2" w:rsidRDefault="00226CF2" w:rsidP="00DA7469">
      <w:pPr>
        <w:autoSpaceDE w:val="0"/>
        <w:autoSpaceDN w:val="0"/>
        <w:spacing w:after="0"/>
      </w:pPr>
    </w:p>
    <w:p w14:paraId="6DF87F9A" w14:textId="286EB618" w:rsidR="00DA7469" w:rsidRPr="007C082B" w:rsidRDefault="002240CF" w:rsidP="00DA7469">
      <w:pPr>
        <w:autoSpaceDE w:val="0"/>
        <w:autoSpaceDN w:val="0"/>
        <w:spacing w:after="0"/>
        <w:rPr>
          <w:rFonts w:cstheme="minorHAnsi"/>
          <w:color w:val="00B050"/>
        </w:rPr>
      </w:pPr>
      <w:r>
        <w:lastRenderedPageBreak/>
        <w:t xml:space="preserve">The largest </w:t>
      </w:r>
      <w:r w:rsidRPr="00CD49EA">
        <w:t xml:space="preserve">increases were </w:t>
      </w:r>
      <w:r w:rsidR="00BC2AAF" w:rsidRPr="00CD49EA">
        <w:t>in</w:t>
      </w:r>
      <w:r w:rsidR="00842479" w:rsidRPr="00CD49EA">
        <w:t xml:space="preserve"> </w:t>
      </w:r>
      <w:r w:rsidR="00842479" w:rsidRPr="00CD49EA">
        <w:rPr>
          <w:i/>
        </w:rPr>
        <w:t>Performing arts venues</w:t>
      </w:r>
      <w:r w:rsidRPr="00CD49EA">
        <w:t xml:space="preserve"> </w:t>
      </w:r>
      <w:r w:rsidRPr="005F7F47">
        <w:t>(↑$</w:t>
      </w:r>
      <w:r w:rsidR="005F7F47" w:rsidRPr="005F7F47">
        <w:t>102.9</w:t>
      </w:r>
      <w:r w:rsidRPr="005F7F47">
        <w:t>m)</w:t>
      </w:r>
      <w:r w:rsidR="001C72EC">
        <w:t xml:space="preserve"> and </w:t>
      </w:r>
      <w:r w:rsidR="001C72EC" w:rsidRPr="00CD49EA">
        <w:rPr>
          <w:i/>
          <w:iCs/>
        </w:rPr>
        <w:t>Cross-art form</w:t>
      </w:r>
      <w:r w:rsidR="001C72EC">
        <w:t xml:space="preserve"> (</w:t>
      </w:r>
      <w:r w:rsidR="001C72EC" w:rsidRPr="005F7F47">
        <w:t>↑$</w:t>
      </w:r>
      <w:r w:rsidR="005F7F47" w:rsidRPr="005F7F47">
        <w:t>3.6</w:t>
      </w:r>
      <w:r w:rsidR="001C72EC" w:rsidRPr="005F7F47">
        <w:t>m</w:t>
      </w:r>
      <w:r w:rsidR="001C72EC">
        <w:t>).</w:t>
      </w:r>
    </w:p>
    <w:p w14:paraId="1AEA415C" w14:textId="27DA2FB4" w:rsidR="00BC2AAF" w:rsidRDefault="00BC2AAF" w:rsidP="00DA7469">
      <w:pPr>
        <w:autoSpaceDE w:val="0"/>
        <w:autoSpaceDN w:val="0"/>
        <w:spacing w:after="0"/>
        <w:rPr>
          <w:rFonts w:cstheme="minorHAnsi"/>
          <w:color w:val="000000"/>
        </w:rPr>
      </w:pPr>
    </w:p>
    <w:p w14:paraId="3DF15E94" w14:textId="0A294F33" w:rsidR="0027679D" w:rsidRPr="00A46A1E" w:rsidRDefault="0027679D" w:rsidP="0027679D">
      <w:pPr>
        <w:pStyle w:val="Tablefigureheading"/>
        <w:rPr>
          <w:b w:val="0"/>
          <w:bCs/>
          <w:sz w:val="18"/>
          <w:szCs w:val="18"/>
        </w:rPr>
      </w:pPr>
      <w:bookmarkStart w:id="2" w:name="_Toc524533024"/>
      <w:r w:rsidRPr="00A46A1E">
        <w:t>Figure 2. South Australian Government arts expenditure</w:t>
      </w:r>
      <w:r w:rsidR="00A46A1E" w:rsidRPr="00A46A1E">
        <w:t xml:space="preserve"> (recurrent and capital)</w:t>
      </w:r>
      <w:r w:rsidRPr="00A46A1E">
        <w:t>, by selected categories</w:t>
      </w:r>
      <w:bookmarkEnd w:id="2"/>
    </w:p>
    <w:p w14:paraId="0D8BECE5" w14:textId="165B3EE1" w:rsidR="00842479" w:rsidRPr="00842479" w:rsidRDefault="001C72EC" w:rsidP="00842479">
      <w:pPr>
        <w:rPr>
          <w:lang w:eastAsia="en-US"/>
        </w:rPr>
      </w:pPr>
      <w:r>
        <w:rPr>
          <w:noProof/>
        </w:rPr>
        <w:drawing>
          <wp:inline distT="0" distB="0" distL="0" distR="0" wp14:anchorId="45880286" wp14:editId="6A97E7F8">
            <wp:extent cx="5812553" cy="1873972"/>
            <wp:effectExtent l="0" t="0" r="0" b="0"/>
            <wp:docPr id="1811980635" name="Chart 1" descr="Figure 2. South Australian Government arts expenditure (recurrent and capital), by selected categories.&#10;A column graph compares expenditure across the arts categories of Music, Performing arts venues, Cross-art form, Arts education, Multi-arts festivals, and Arts administration between the financial years of 2020-21, 2021-22 and 2023-24 for the South Australian Government.&#10;2020-21: Music $12.1m, Performing arts venues $40.8m, Cross-art form $10.6m, Arts education $16.8m, Multi-arts festivals $19.4m, Arts administration $8.9m.&#10;2021-22: Music $12.9m, Performing arts venues $61.4m, Cross-art form $7.6m, Arts education $16.0m, Multi-arts festivals $19.3m, Arts administration $9.1m.&#10;2023-24: Music $12.8m, Performing arts venues $164.3m, Cross-art form $11.2m, Arts education $13.2m, Multi-arts festivals $20.0m, Arts administration $10.9m.">
              <a:extLst xmlns:a="http://schemas.openxmlformats.org/drawingml/2006/main">
                <a:ext uri="{FF2B5EF4-FFF2-40B4-BE49-F238E27FC236}">
                  <a16:creationId xmlns:a16="http://schemas.microsoft.com/office/drawing/2014/main" id="{C417034E-53CE-4BC4-9F64-105B2AD21E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3" w:name="_GoBack"/>
      <w:bookmarkEnd w:id="3"/>
    </w:p>
    <w:p w14:paraId="209127D4" w14:textId="0E79D5F4" w:rsidR="0027679D" w:rsidRPr="00A46A1E" w:rsidRDefault="0027679D" w:rsidP="0027679D">
      <w:pPr>
        <w:rPr>
          <w:lang w:eastAsia="en-US"/>
        </w:rPr>
      </w:pPr>
      <w:r w:rsidRPr="005F7F47">
        <w:rPr>
          <w:i/>
        </w:rPr>
        <w:t>Performing arts venues</w:t>
      </w:r>
      <w:r w:rsidRPr="005F7F47">
        <w:t xml:space="preserve"> ($</w:t>
      </w:r>
      <w:r w:rsidR="005F7F47" w:rsidRPr="005F7F47">
        <w:t>164.3</w:t>
      </w:r>
      <w:r w:rsidR="00226CF2" w:rsidRPr="005F7F47">
        <w:t>m</w:t>
      </w:r>
      <w:r w:rsidRPr="005F7F47">
        <w:t xml:space="preserve">), accounted for </w:t>
      </w:r>
      <w:r w:rsidR="004E2959">
        <w:t>60</w:t>
      </w:r>
      <w:r w:rsidRPr="005F7F47">
        <w:t xml:space="preserve">% of all funded expenditure by the South Australian Government on </w:t>
      </w:r>
      <w:r w:rsidRPr="005F7F47">
        <w:rPr>
          <w:i/>
          <w:iCs/>
        </w:rPr>
        <w:t>Arts</w:t>
      </w:r>
      <w:r w:rsidRPr="005F7F47">
        <w:t xml:space="preserve"> activities.</w:t>
      </w:r>
      <w:r w:rsidR="0089363F">
        <w:t xml:space="preserve"> </w:t>
      </w:r>
      <w:r w:rsidR="0089363F" w:rsidRPr="00F97C59">
        <w:t>However, as noted above, this</w:t>
      </w:r>
      <w:r w:rsidR="00F97C59">
        <w:t xml:space="preserve"> figure</w:t>
      </w:r>
      <w:r w:rsidR="0089363F" w:rsidRPr="00F97C59">
        <w:t xml:space="preserve"> included capital expenditure totalling $148</w:t>
      </w:r>
      <w:r w:rsidR="00F86620" w:rsidRPr="00F97C59">
        <w:t>.0</w:t>
      </w:r>
      <w:r w:rsidR="0089363F" w:rsidRPr="00F97C59">
        <w:t>m in 2023</w:t>
      </w:r>
      <w:r w:rsidR="00C32044" w:rsidRPr="00A0756F">
        <w:rPr>
          <w:color w:val="000000" w:themeColor="text1"/>
        </w:rPr>
        <w:t>–</w:t>
      </w:r>
      <w:r w:rsidR="00C32044">
        <w:rPr>
          <w:color w:val="000000" w:themeColor="text1"/>
        </w:rPr>
        <w:t>2</w:t>
      </w:r>
      <w:r w:rsidR="0089363F" w:rsidRPr="00F97C59">
        <w:t>4.</w:t>
      </w:r>
    </w:p>
    <w:p w14:paraId="7BB1B0FA" w14:textId="77777777" w:rsidR="0027679D" w:rsidRPr="00A46A1E" w:rsidRDefault="0027679D" w:rsidP="000B7F04">
      <w:pPr>
        <w:spacing w:after="0"/>
      </w:pPr>
      <w:r w:rsidRPr="00A46A1E">
        <w:t xml:space="preserve">Other main categories of </w:t>
      </w:r>
      <w:r w:rsidRPr="00A46A1E">
        <w:rPr>
          <w:i/>
        </w:rPr>
        <w:t>Arts</w:t>
      </w:r>
      <w:r w:rsidRPr="00A46A1E">
        <w:t xml:space="preserve"> activities funding were:</w:t>
      </w:r>
    </w:p>
    <w:p w14:paraId="6ADF532A" w14:textId="0AD4B4D7" w:rsidR="0027679D" w:rsidRPr="005F7F47" w:rsidRDefault="0027679D" w:rsidP="0027679D">
      <w:pPr>
        <w:pStyle w:val="ListParagraph"/>
        <w:numPr>
          <w:ilvl w:val="0"/>
          <w:numId w:val="9"/>
        </w:numPr>
        <w:ind w:left="567" w:hanging="567"/>
      </w:pPr>
      <w:r w:rsidRPr="005F7F47">
        <w:rPr>
          <w:i/>
        </w:rPr>
        <w:t>Multi-arts festivals</w:t>
      </w:r>
      <w:r w:rsidRPr="005F7F47">
        <w:t>—$</w:t>
      </w:r>
      <w:r w:rsidR="005F7F47">
        <w:t>20.0</w:t>
      </w:r>
      <w:r w:rsidRPr="005F7F47">
        <w:t>m</w:t>
      </w:r>
    </w:p>
    <w:p w14:paraId="14866547" w14:textId="2C62FC18" w:rsidR="0027679D" w:rsidRPr="005F7F47" w:rsidRDefault="0027679D" w:rsidP="0027679D">
      <w:pPr>
        <w:pStyle w:val="ListParagraph"/>
        <w:numPr>
          <w:ilvl w:val="0"/>
          <w:numId w:val="9"/>
        </w:numPr>
        <w:ind w:left="567" w:hanging="567"/>
      </w:pPr>
      <w:r w:rsidRPr="005F7F47">
        <w:rPr>
          <w:i/>
        </w:rPr>
        <w:t>Arts education</w:t>
      </w:r>
      <w:r w:rsidRPr="005F7F47">
        <w:t>—$1</w:t>
      </w:r>
      <w:r w:rsidR="005F7F47">
        <w:t>3</w:t>
      </w:r>
      <w:r w:rsidRPr="005F7F47">
        <w:t>.</w:t>
      </w:r>
      <w:r w:rsidR="005F7F47">
        <w:t>2</w:t>
      </w:r>
      <w:r w:rsidRPr="005F7F47">
        <w:t>m</w:t>
      </w:r>
    </w:p>
    <w:p w14:paraId="5D30CE21" w14:textId="502DC3C1" w:rsidR="007907C5" w:rsidRPr="005F7F47" w:rsidRDefault="007907C5" w:rsidP="0027679D">
      <w:pPr>
        <w:pStyle w:val="ListParagraph"/>
        <w:numPr>
          <w:ilvl w:val="0"/>
          <w:numId w:val="9"/>
        </w:numPr>
        <w:ind w:left="567" w:hanging="567"/>
      </w:pPr>
      <w:r w:rsidRPr="005F7F47">
        <w:rPr>
          <w:i/>
        </w:rPr>
        <w:t>Music</w:t>
      </w:r>
      <w:r w:rsidRPr="005F7F47">
        <w:t>—$1</w:t>
      </w:r>
      <w:r w:rsidR="00BE1ACB" w:rsidRPr="005F7F47">
        <w:t>2.</w:t>
      </w:r>
      <w:r w:rsidR="005F7F47">
        <w:t>8</w:t>
      </w:r>
      <w:r w:rsidRPr="005F7F47">
        <w:t>m</w:t>
      </w:r>
    </w:p>
    <w:p w14:paraId="19899CA4" w14:textId="566E0797" w:rsidR="0027679D" w:rsidRPr="005F7F47" w:rsidRDefault="005F7F47" w:rsidP="007907C5">
      <w:pPr>
        <w:pStyle w:val="ListParagraph"/>
        <w:numPr>
          <w:ilvl w:val="0"/>
          <w:numId w:val="9"/>
        </w:numPr>
        <w:ind w:left="567" w:hanging="567"/>
      </w:pPr>
      <w:r w:rsidRPr="005F7F47">
        <w:rPr>
          <w:i/>
        </w:rPr>
        <w:t>Cross-art form</w:t>
      </w:r>
      <w:r w:rsidR="0027679D" w:rsidRPr="005F7F47">
        <w:t>—$</w:t>
      </w:r>
      <w:r>
        <w:t>11</w:t>
      </w:r>
      <w:r w:rsidR="00226CF2" w:rsidRPr="005F7F47">
        <w:t>.</w:t>
      </w:r>
      <w:r>
        <w:t>2</w:t>
      </w:r>
      <w:r w:rsidR="0027679D" w:rsidRPr="005F7F47">
        <w:t>m</w:t>
      </w:r>
    </w:p>
    <w:p w14:paraId="5AC08BE4" w14:textId="139DABF1" w:rsidR="005F7F47" w:rsidRPr="005F7F47" w:rsidRDefault="005F7F47" w:rsidP="007907C5">
      <w:pPr>
        <w:pStyle w:val="ListParagraph"/>
        <w:numPr>
          <w:ilvl w:val="0"/>
          <w:numId w:val="9"/>
        </w:numPr>
        <w:ind w:left="567" w:hanging="567"/>
      </w:pPr>
      <w:r w:rsidRPr="005F7F47">
        <w:rPr>
          <w:i/>
        </w:rPr>
        <w:t>Arts administration</w:t>
      </w:r>
      <w:r w:rsidRPr="005F7F47">
        <w:t>—$</w:t>
      </w:r>
      <w:r>
        <w:t>10</w:t>
      </w:r>
      <w:r w:rsidRPr="005F7F47">
        <w:t>.</w:t>
      </w:r>
      <w:r>
        <w:t>9</w:t>
      </w:r>
      <w:r w:rsidRPr="005F7F47">
        <w:t>m.</w:t>
      </w:r>
    </w:p>
    <w:p w14:paraId="551EB4CA" w14:textId="6EA339A8" w:rsidR="00156DBE" w:rsidRPr="00A46A1E" w:rsidRDefault="0027679D" w:rsidP="0027679D">
      <w:r w:rsidRPr="005F7F47">
        <w:t xml:space="preserve">Total </w:t>
      </w:r>
      <w:r w:rsidR="00C01FBB">
        <w:t xml:space="preserve">heritage and arts </w:t>
      </w:r>
      <w:r w:rsidRPr="00F8251E">
        <w:rPr>
          <w:b/>
          <w:bCs/>
        </w:rPr>
        <w:t>recurrent</w:t>
      </w:r>
      <w:r w:rsidRPr="005F7F47">
        <w:t xml:space="preserve"> </w:t>
      </w:r>
      <w:r w:rsidR="00BA0771" w:rsidRPr="005F7F47">
        <w:t>expenditure</w:t>
      </w:r>
      <w:r w:rsidRPr="005F7F47">
        <w:t xml:space="preserve"> </w:t>
      </w:r>
      <w:r w:rsidR="003A78ED" w:rsidRPr="005F7F47">
        <w:t>decreased</w:t>
      </w:r>
      <w:r w:rsidR="007907C5" w:rsidRPr="005F7F47">
        <w:t xml:space="preserve"> </w:t>
      </w:r>
      <w:r w:rsidR="005F7F47" w:rsidRPr="005F7F47">
        <w:t>18</w:t>
      </w:r>
      <w:r w:rsidRPr="005F7F47">
        <w:t>% or $</w:t>
      </w:r>
      <w:r w:rsidR="005F7F47" w:rsidRPr="005F7F47">
        <w:t>43.8</w:t>
      </w:r>
      <w:r w:rsidRPr="005F7F47">
        <w:t>m</w:t>
      </w:r>
      <w:r w:rsidR="005F7F47">
        <w:t xml:space="preserve"> from 2021</w:t>
      </w:r>
      <w:r w:rsidR="00B86CE3" w:rsidRPr="00A0756F">
        <w:rPr>
          <w:color w:val="000000" w:themeColor="text1"/>
        </w:rPr>
        <w:t>–</w:t>
      </w:r>
      <w:r w:rsidR="005F7F47">
        <w:t>22</w:t>
      </w:r>
      <w:r w:rsidR="00E80B2E" w:rsidRPr="005F7F47">
        <w:t>.</w:t>
      </w:r>
      <w:r w:rsidR="00156DBE" w:rsidRPr="00A46A1E">
        <w:t xml:space="preserve"> </w:t>
      </w:r>
    </w:p>
    <w:p w14:paraId="301426EB" w14:textId="5DEE34C1" w:rsidR="00BA0771" w:rsidRPr="00A46A1E" w:rsidRDefault="00FE3D08" w:rsidP="0027679D">
      <w:r>
        <w:t>R</w:t>
      </w:r>
      <w:r w:rsidR="0027679D" w:rsidRPr="00F8384C">
        <w:t xml:space="preserve">ecurrent expenditure </w:t>
      </w:r>
      <w:r>
        <w:t>was largest for</w:t>
      </w:r>
      <w:r w:rsidR="0027679D" w:rsidRPr="00F8384C">
        <w:t xml:space="preserve"> </w:t>
      </w:r>
      <w:r w:rsidR="00226CF2" w:rsidRPr="00F8384C">
        <w:rPr>
          <w:i/>
        </w:rPr>
        <w:t xml:space="preserve">Libraries </w:t>
      </w:r>
      <w:r w:rsidR="00004A49" w:rsidRPr="00F8384C">
        <w:rPr>
          <w:iCs/>
        </w:rPr>
        <w:t>($</w:t>
      </w:r>
      <w:r w:rsidR="00226CF2" w:rsidRPr="00F8384C">
        <w:rPr>
          <w:iCs/>
        </w:rPr>
        <w:t>34.</w:t>
      </w:r>
      <w:r w:rsidR="005F7F47" w:rsidRPr="00F8384C">
        <w:rPr>
          <w:iCs/>
        </w:rPr>
        <w:t>3</w:t>
      </w:r>
      <w:r w:rsidR="00004A49" w:rsidRPr="00F8384C">
        <w:rPr>
          <w:iCs/>
        </w:rPr>
        <w:t>m)</w:t>
      </w:r>
      <w:r w:rsidR="005F7F47" w:rsidRPr="00F8384C">
        <w:rPr>
          <w:iCs/>
        </w:rPr>
        <w:t xml:space="preserve">, </w:t>
      </w:r>
      <w:r w:rsidR="00756B9B" w:rsidRPr="00F8384C">
        <w:rPr>
          <w:i/>
          <w:iCs/>
        </w:rPr>
        <w:t>Other</w:t>
      </w:r>
      <w:r w:rsidR="00BA0771" w:rsidRPr="00F8384C">
        <w:rPr>
          <w:i/>
          <w:iCs/>
        </w:rPr>
        <w:t xml:space="preserve"> museums and cultural heritage </w:t>
      </w:r>
      <w:r w:rsidR="00BA0771" w:rsidRPr="00F8384C">
        <w:t>($</w:t>
      </w:r>
      <w:r w:rsidR="00226CF2" w:rsidRPr="00F8384C">
        <w:t>3</w:t>
      </w:r>
      <w:r w:rsidR="00F8384C" w:rsidRPr="00F8384C">
        <w:t>3.3</w:t>
      </w:r>
      <w:r w:rsidR="00BA0771" w:rsidRPr="00F8384C">
        <w:t>m)</w:t>
      </w:r>
      <w:r w:rsidR="005F7F47" w:rsidRPr="00F8384C">
        <w:t xml:space="preserve"> and </w:t>
      </w:r>
      <w:r w:rsidR="005F7F47" w:rsidRPr="00F8384C">
        <w:rPr>
          <w:i/>
          <w:iCs/>
        </w:rPr>
        <w:t>Multi-arts festivals</w:t>
      </w:r>
      <w:r w:rsidR="005F7F47" w:rsidRPr="00F8384C">
        <w:t xml:space="preserve"> </w:t>
      </w:r>
      <w:r w:rsidR="005F7F47" w:rsidRPr="00F8384C">
        <w:rPr>
          <w:iCs/>
        </w:rPr>
        <w:t>($</w:t>
      </w:r>
      <w:r w:rsidR="00F8384C" w:rsidRPr="00F8384C">
        <w:rPr>
          <w:iCs/>
        </w:rPr>
        <w:t>20.0</w:t>
      </w:r>
      <w:r w:rsidR="005F7F47" w:rsidRPr="00F8384C">
        <w:rPr>
          <w:iCs/>
        </w:rPr>
        <w:t>m)</w:t>
      </w:r>
      <w:r w:rsidR="00004A49" w:rsidRPr="00F8384C">
        <w:t>.</w:t>
      </w:r>
      <w:r w:rsidR="00BA0771" w:rsidRPr="00A46A1E">
        <w:t xml:space="preserve"> </w:t>
      </w:r>
    </w:p>
    <w:p w14:paraId="089D914D" w14:textId="59CAA232" w:rsidR="0027679D" w:rsidRPr="00A46A1E" w:rsidRDefault="00BA0771" w:rsidP="0027679D">
      <w:r w:rsidRPr="00F8384C">
        <w:t xml:space="preserve">The </w:t>
      </w:r>
      <w:r w:rsidR="0027679D" w:rsidRPr="00F8384C">
        <w:t xml:space="preserve">largest recurrent dollar increase </w:t>
      </w:r>
      <w:r w:rsidR="0061583E" w:rsidRPr="00F8384C">
        <w:t>was</w:t>
      </w:r>
      <w:r w:rsidR="0027679D" w:rsidRPr="00F8384C">
        <w:t xml:space="preserve"> for the categories of </w:t>
      </w:r>
      <w:r w:rsidR="00F8384C" w:rsidRPr="00F8384C">
        <w:rPr>
          <w:i/>
          <w:iCs/>
        </w:rPr>
        <w:t>Cross-art form</w:t>
      </w:r>
      <w:r w:rsidR="0027679D" w:rsidRPr="00F8384C">
        <w:t xml:space="preserve"> ↑$</w:t>
      </w:r>
      <w:r w:rsidR="00F8384C" w:rsidRPr="00F8384C">
        <w:t>3.6</w:t>
      </w:r>
      <w:r w:rsidR="0027679D" w:rsidRPr="00F8384C">
        <w:t xml:space="preserve">m and </w:t>
      </w:r>
      <w:r w:rsidR="00F8384C" w:rsidRPr="00F8384C">
        <w:rPr>
          <w:i/>
        </w:rPr>
        <w:t xml:space="preserve">Other museums and cultural heritage </w:t>
      </w:r>
      <w:r w:rsidR="0027679D" w:rsidRPr="00F8384C">
        <w:t>↑$</w:t>
      </w:r>
      <w:r w:rsidR="00F8384C" w:rsidRPr="00F8384C">
        <w:t>2.4</w:t>
      </w:r>
      <w:r w:rsidR="0027679D" w:rsidRPr="00F8384C">
        <w:t>m, between 20</w:t>
      </w:r>
      <w:r w:rsidR="00226CF2" w:rsidRPr="00F8384C">
        <w:t>2</w:t>
      </w:r>
      <w:r w:rsidR="003A78ED" w:rsidRPr="00F8384C">
        <w:t>1</w:t>
      </w:r>
      <w:r w:rsidR="005E0185" w:rsidRPr="00A0756F">
        <w:rPr>
          <w:color w:val="000000" w:themeColor="text1"/>
        </w:rPr>
        <w:t>–</w:t>
      </w:r>
      <w:r w:rsidR="0027679D" w:rsidRPr="00F8384C">
        <w:t>2</w:t>
      </w:r>
      <w:r w:rsidR="003A78ED" w:rsidRPr="00F8384C">
        <w:t>2</w:t>
      </w:r>
      <w:r w:rsidR="0027679D" w:rsidRPr="00F8384C">
        <w:t xml:space="preserve"> and 202</w:t>
      </w:r>
      <w:r w:rsidR="003A78ED" w:rsidRPr="00F8384C">
        <w:t>3</w:t>
      </w:r>
      <w:r w:rsidR="005E0185" w:rsidRPr="00A0756F">
        <w:rPr>
          <w:color w:val="000000" w:themeColor="text1"/>
        </w:rPr>
        <w:t>–</w:t>
      </w:r>
      <w:r w:rsidR="003A78ED" w:rsidRPr="00F8384C">
        <w:t>24</w:t>
      </w:r>
      <w:r w:rsidR="0027679D" w:rsidRPr="00F8384C">
        <w:t>.</w:t>
      </w:r>
      <w:r w:rsidR="00F8384C">
        <w:t xml:space="preserve"> The largest decrease in recurrent expenditure was for </w:t>
      </w:r>
      <w:r w:rsidR="00F8384C" w:rsidRPr="00F8384C">
        <w:rPr>
          <w:i/>
          <w:iCs/>
        </w:rPr>
        <w:t>Performing arts venues</w:t>
      </w:r>
      <w:r w:rsidR="00F8384C">
        <w:t xml:space="preserve"> (</w:t>
      </w:r>
      <w:r w:rsidR="00F8384C">
        <w:rPr>
          <w:rFonts w:cstheme="minorHAnsi"/>
        </w:rPr>
        <w:t>↓$29.9m</w:t>
      </w:r>
      <w:r w:rsidR="00F8384C">
        <w:t xml:space="preserve">) and </w:t>
      </w:r>
      <w:r w:rsidR="00F8384C" w:rsidRPr="00F8384C">
        <w:rPr>
          <w:i/>
          <w:iCs/>
        </w:rPr>
        <w:t>Film and video production and distribution</w:t>
      </w:r>
      <w:r w:rsidR="00F8384C">
        <w:t xml:space="preserve"> (</w:t>
      </w:r>
      <w:r w:rsidR="00F8384C">
        <w:rPr>
          <w:rFonts w:cstheme="minorHAnsi"/>
        </w:rPr>
        <w:t>↓$11.5m</w:t>
      </w:r>
      <w:r w:rsidR="00F8384C">
        <w:t>).</w:t>
      </w:r>
    </w:p>
    <w:p w14:paraId="1FDBE462" w14:textId="075A7C79" w:rsidR="0027679D" w:rsidRPr="00A46A1E" w:rsidRDefault="0027679D" w:rsidP="0027679D">
      <w:pPr>
        <w:pStyle w:val="Tablefigureheading"/>
      </w:pPr>
      <w:r w:rsidRPr="00A46A1E">
        <w:t>Figure 3. South Australian Government recurrent cultural expenditure, by selected categories</w:t>
      </w:r>
    </w:p>
    <w:p w14:paraId="6FD3D146" w14:textId="0BA144E2" w:rsidR="00F67604" w:rsidRDefault="00DC4933" w:rsidP="0027679D">
      <w:pPr>
        <w:rPr>
          <w:lang w:eastAsia="en-US"/>
        </w:rPr>
      </w:pPr>
      <w:r>
        <w:rPr>
          <w:noProof/>
        </w:rPr>
        <w:drawing>
          <wp:inline distT="0" distB="0" distL="0" distR="0" wp14:anchorId="44DC4C19" wp14:editId="69AFD963">
            <wp:extent cx="5926455" cy="2717800"/>
            <wp:effectExtent l="0" t="0" r="0" b="6350"/>
            <wp:docPr id="1460987473" name="Chart 1" descr="Figure 3. South Australia Government recurrent cultural expenditure, by selected categories.&#10;A column graph compares expenditure across the heritage and arts categories of Other museums and cultural heritage, Libraries, Music, Performing arts venues, Cross-art form, Arts education, Multi-arts festivals and Arts administration between the financial years of 2020-21, 2021-22 and 2023-24 for the South Australia Government.&#10;2020-21: Other museums &amp; cultural heritage $29.8m, Libraries $35.9m, Music $12.1m, Performing arts venues $33.7m, Cross-art form $10.6m, Arts education $16.8m, Multi-arts festivals $19.4m, Arts administration $8.9m.&#10;2021-22: Other museums &amp; cultural heritage $30.9m, Libraries $34.9m, Music $12.9m, Performing arts venues $46.2m, Cross-art form $7.6m, Arts education $16.0m, Multi-arts festivals $19.3m, Arts administration $9.1m.&#10;2023-24: Other museums &amp; cultural heritage $33.3m, Libraries $34.3m, Music $12.8m, Performing arts venues $16.3m, Cross-art form $11.2m, Arts education $13.2m, Multi-arts festivals $20.0m, Arts administration $10.9m.">
              <a:extLst xmlns:a="http://schemas.openxmlformats.org/drawingml/2006/main">
                <a:ext uri="{FF2B5EF4-FFF2-40B4-BE49-F238E27FC236}">
                  <a16:creationId xmlns:a16="http://schemas.microsoft.com/office/drawing/2014/main" id="{3943926F-5237-4F86-BA8F-263861DCE1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F67604" w:rsidSect="00842CA0">
      <w:type w:val="continuous"/>
      <w:pgSz w:w="11906" w:h="16838"/>
      <w:pgMar w:top="1418" w:right="1133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97DD8" w14:textId="77777777" w:rsidR="00B54081" w:rsidRDefault="00B54081" w:rsidP="002117E6">
      <w:pPr>
        <w:spacing w:after="0"/>
      </w:pPr>
      <w:r>
        <w:separator/>
      </w:r>
    </w:p>
  </w:endnote>
  <w:endnote w:type="continuationSeparator" w:id="0">
    <w:p w14:paraId="290CF2DD" w14:textId="77777777" w:rsidR="00B54081" w:rsidRDefault="00B54081" w:rsidP="00211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D076" w14:textId="5F656E53" w:rsidR="00FC0C98" w:rsidRPr="002454AC" w:rsidRDefault="00FC0C98" w:rsidP="00842CA0">
    <w:pPr>
      <w:pStyle w:val="Footer"/>
      <w:tabs>
        <w:tab w:val="clear" w:pos="9026"/>
        <w:tab w:val="right" w:pos="9333"/>
      </w:tabs>
      <w:rPr>
        <w:rStyle w:val="Hyperlink"/>
        <w:b w:val="0"/>
        <w:color w:val="auto"/>
        <w:sz w:val="18"/>
        <w:szCs w:val="18"/>
        <w:u w:val="none"/>
      </w:rPr>
    </w:pPr>
    <w:r w:rsidRPr="00CC4247">
      <w:rPr>
        <w:sz w:val="18"/>
        <w:szCs w:val="18"/>
      </w:rPr>
      <w:t>Cultural</w:t>
    </w:r>
    <w:r>
      <w:rPr>
        <w:sz w:val="18"/>
        <w:szCs w:val="18"/>
      </w:rPr>
      <w:t xml:space="preserve"> Funding by Government—20</w:t>
    </w:r>
    <w:r w:rsidR="006970A6">
      <w:rPr>
        <w:sz w:val="18"/>
        <w:szCs w:val="18"/>
      </w:rPr>
      <w:t>2</w:t>
    </w:r>
    <w:r w:rsidR="00B81667">
      <w:rPr>
        <w:sz w:val="18"/>
        <w:szCs w:val="18"/>
      </w:rPr>
      <w:t>3</w:t>
    </w:r>
    <w:r>
      <w:t>–</w:t>
    </w:r>
    <w:r>
      <w:rPr>
        <w:sz w:val="18"/>
        <w:szCs w:val="18"/>
      </w:rPr>
      <w:t>2</w:t>
    </w:r>
    <w:r w:rsidR="00B81667">
      <w:rPr>
        <w:sz w:val="18"/>
        <w:szCs w:val="18"/>
      </w:rPr>
      <w:t>4</w:t>
    </w:r>
    <w:r w:rsidRPr="00CC4247">
      <w:rPr>
        <w:sz w:val="18"/>
        <w:szCs w:val="18"/>
      </w:rPr>
      <w:t>—</w:t>
    </w:r>
    <w:r w:rsidR="0027679D">
      <w:rPr>
        <w:sz w:val="18"/>
        <w:szCs w:val="18"/>
      </w:rPr>
      <w:t xml:space="preserve">South </w:t>
    </w:r>
    <w:r w:rsidRPr="00CC4247">
      <w:rPr>
        <w:sz w:val="18"/>
        <w:szCs w:val="18"/>
      </w:rPr>
      <w:t>Australian</w:t>
    </w:r>
    <w:r w:rsidR="0027679D">
      <w:rPr>
        <w:sz w:val="18"/>
        <w:szCs w:val="18"/>
      </w:rPr>
      <w:t xml:space="preserve"> </w:t>
    </w:r>
    <w:r w:rsidRPr="00CC4247">
      <w:rPr>
        <w:sz w:val="18"/>
        <w:szCs w:val="18"/>
      </w:rPr>
      <w:t>Government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924028759"/>
        <w:docPartObj>
          <w:docPartGallery w:val="Page Numbers (Top of Page)"/>
          <w:docPartUnique/>
        </w:docPartObj>
      </w:sdtPr>
      <w:sdtEndPr/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F9394E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F9394E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7A8AEEF8" w14:textId="77777777" w:rsidR="00FC0C98" w:rsidRDefault="00FC0C98" w:rsidP="00842CA0">
    <w:pPr>
      <w:spacing w:after="0"/>
      <w:ind w:left="-1418"/>
    </w:pPr>
    <w:r>
      <w:rPr>
        <w:noProof/>
        <w:lang w:eastAsia="en-AU"/>
      </w:rPr>
      <w:drawing>
        <wp:inline distT="0" distB="0" distL="0" distR="0" wp14:anchorId="22C413FE" wp14:editId="573FC905">
          <wp:extent cx="7560000" cy="358181"/>
          <wp:effectExtent l="0" t="0" r="3175" b="3810"/>
          <wp:docPr id="7" name="Picture 7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7560000" cy="358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BC86" w14:textId="16F1B5D7" w:rsidR="00E23218" w:rsidRPr="00CD5C1E" w:rsidRDefault="00CD5C1E" w:rsidP="00CD5C1E">
    <w:pPr>
      <w:pStyle w:val="Footer"/>
      <w:rPr>
        <w:i/>
        <w:iCs/>
        <w:sz w:val="18"/>
        <w:szCs w:val="18"/>
      </w:rPr>
    </w:pPr>
    <w:r w:rsidRPr="00CD5C1E">
      <w:rPr>
        <w:i/>
        <w:iCs/>
        <w:sz w:val="18"/>
        <w:szCs w:val="18"/>
      </w:rPr>
      <w:t xml:space="preserve">Source: Cultural Funding by Government </w:t>
    </w:r>
    <w:r>
      <w:rPr>
        <w:i/>
        <w:iCs/>
        <w:noProof/>
        <w:sz w:val="18"/>
        <w:szCs w:val="18"/>
        <w:lang w:eastAsia="en-AU"/>
      </w:rPr>
      <w:t>202</w:t>
    </w:r>
    <w:r w:rsidR="00B81667">
      <w:rPr>
        <w:i/>
        <w:iCs/>
        <w:noProof/>
        <w:sz w:val="18"/>
        <w:szCs w:val="18"/>
        <w:lang w:eastAsia="en-AU"/>
      </w:rPr>
      <w:t>3</w:t>
    </w:r>
    <w:r>
      <w:t>–</w:t>
    </w:r>
    <w:r>
      <w:rPr>
        <w:i/>
        <w:iCs/>
        <w:noProof/>
        <w:sz w:val="18"/>
        <w:szCs w:val="18"/>
        <w:lang w:eastAsia="en-AU"/>
      </w:rPr>
      <w:t>2</w:t>
    </w:r>
    <w:r w:rsidR="00B81667">
      <w:rPr>
        <w:i/>
        <w:iCs/>
        <w:noProof/>
        <w:sz w:val="18"/>
        <w:szCs w:val="18"/>
        <w:lang w:eastAsia="en-AU"/>
      </w:rPr>
      <w:t>4</w:t>
    </w:r>
    <w:r>
      <w:rPr>
        <w:noProof/>
        <w:sz w:val="18"/>
        <w:szCs w:val="18"/>
        <w:lang w:eastAsia="en-AU"/>
      </w:rPr>
      <w:t xml:space="preserve"> </w:t>
    </w:r>
    <w:r w:rsidRPr="00CD5C1E">
      <w:rPr>
        <w:i/>
        <w:iCs/>
        <w:sz w:val="18"/>
        <w:szCs w:val="18"/>
      </w:rPr>
      <w:t>survey</w:t>
    </w:r>
  </w:p>
  <w:p w14:paraId="471F2EF6" w14:textId="0E44F1C9" w:rsidR="00FC0C98" w:rsidRPr="00477982" w:rsidRDefault="00DD4ACA" w:rsidP="00477982">
    <w:pPr>
      <w:pStyle w:val="Footer"/>
      <w:ind w:left="-1418"/>
      <w:rPr>
        <w:rStyle w:val="Hyperlink"/>
        <w:color w:val="auto"/>
        <w:u w:val="none"/>
      </w:rPr>
    </w:pPr>
    <w:r>
      <w:rPr>
        <w:noProof/>
        <w:lang w:eastAsia="en-AU"/>
      </w:rPr>
      <w:drawing>
        <wp:inline distT="0" distB="0" distL="0" distR="0" wp14:anchorId="05FC6D49" wp14:editId="5F8C6415">
          <wp:extent cx="9511794" cy="334010"/>
          <wp:effectExtent l="0" t="0" r="0" b="8890"/>
          <wp:docPr id="5" name="Picture 5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10076050" cy="3538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0252" w14:textId="77777777" w:rsidR="00B54081" w:rsidRDefault="00B54081" w:rsidP="002117E6">
      <w:pPr>
        <w:spacing w:after="0"/>
      </w:pPr>
      <w:r>
        <w:separator/>
      </w:r>
    </w:p>
  </w:footnote>
  <w:footnote w:type="continuationSeparator" w:id="0">
    <w:p w14:paraId="0E558D11" w14:textId="77777777" w:rsidR="00B54081" w:rsidRDefault="00B54081" w:rsidP="002117E6">
      <w:pPr>
        <w:spacing w:after="0"/>
      </w:pPr>
      <w:r>
        <w:continuationSeparator/>
      </w:r>
    </w:p>
  </w:footnote>
  <w:footnote w:id="1">
    <w:p w14:paraId="4328B564" w14:textId="5A9C3BE2" w:rsidR="00C94DDE" w:rsidRPr="00C94DDE" w:rsidRDefault="00C94DDE">
      <w:pPr>
        <w:pStyle w:val="FootnoteText"/>
        <w:rPr>
          <w:sz w:val="17"/>
          <w:szCs w:val="17"/>
        </w:rPr>
      </w:pPr>
      <w:r w:rsidRPr="00C94DDE">
        <w:rPr>
          <w:rStyle w:val="FootnoteReference"/>
          <w:sz w:val="17"/>
          <w:szCs w:val="17"/>
        </w:rPr>
        <w:footnoteRef/>
      </w:r>
      <w:r w:rsidRPr="00C94DDE">
        <w:rPr>
          <w:sz w:val="17"/>
          <w:szCs w:val="17"/>
        </w:rPr>
        <w:t xml:space="preserve"> No survey was conducted for </w:t>
      </w:r>
      <w:bookmarkStart w:id="0" w:name="_Hlk201323574"/>
      <w:r w:rsidRPr="00C94DDE">
        <w:rPr>
          <w:sz w:val="17"/>
          <w:szCs w:val="17"/>
        </w:rPr>
        <w:t>2022</w:t>
      </w:r>
      <w:r w:rsidR="00B86CE3" w:rsidRPr="00A0756F">
        <w:rPr>
          <w:color w:val="000000" w:themeColor="text1"/>
        </w:rPr>
        <w:t>–</w:t>
      </w:r>
      <w:r w:rsidRPr="00C94DDE">
        <w:rPr>
          <w:sz w:val="17"/>
          <w:szCs w:val="17"/>
        </w:rPr>
        <w:t xml:space="preserve">23 </w:t>
      </w:r>
      <w:bookmarkEnd w:id="0"/>
      <w:r w:rsidRPr="00C94DDE">
        <w:rPr>
          <w:sz w:val="17"/>
          <w:szCs w:val="17"/>
        </w:rPr>
        <w:t>due to the move to a biennial collection cycle.</w:t>
      </w:r>
    </w:p>
  </w:footnote>
  <w:footnote w:id="2">
    <w:p w14:paraId="72EA1F37" w14:textId="77777777" w:rsidR="00B81667" w:rsidRPr="009F7CC4" w:rsidRDefault="00B81667" w:rsidP="00B81667">
      <w:pPr>
        <w:pStyle w:val="FootnoteText"/>
        <w:rPr>
          <w:sz w:val="17"/>
          <w:szCs w:val="17"/>
        </w:rPr>
      </w:pPr>
      <w:r w:rsidRPr="009F7CC4">
        <w:rPr>
          <w:rStyle w:val="FootnoteReference"/>
          <w:sz w:val="17"/>
          <w:szCs w:val="17"/>
        </w:rPr>
        <w:footnoteRef/>
      </w:r>
      <w:r w:rsidRPr="009F7CC4">
        <w:rPr>
          <w:sz w:val="17"/>
          <w:szCs w:val="17"/>
        </w:rPr>
        <w:t xml:space="preserve"> Includes $14.2m targeted cultural and creative sector COVID support funding, reported across categories and totals.</w:t>
      </w:r>
    </w:p>
  </w:footnote>
  <w:footnote w:id="3">
    <w:p w14:paraId="048ABAA4" w14:textId="77777777" w:rsidR="00B81667" w:rsidRPr="002A63D8" w:rsidRDefault="00B81667" w:rsidP="00B81667">
      <w:pPr>
        <w:pStyle w:val="FootnoteText"/>
        <w:rPr>
          <w:sz w:val="18"/>
          <w:szCs w:val="18"/>
        </w:rPr>
      </w:pPr>
      <w:r w:rsidRPr="009F7CC4">
        <w:rPr>
          <w:rStyle w:val="FootnoteReference"/>
          <w:sz w:val="17"/>
          <w:szCs w:val="17"/>
        </w:rPr>
        <w:footnoteRef/>
      </w:r>
      <w:r w:rsidRPr="009F7CC4">
        <w:rPr>
          <w:sz w:val="17"/>
          <w:szCs w:val="17"/>
        </w:rPr>
        <w:t xml:space="preserve"> Includes $11.3m targeted cultural and creative sector COVID support funding, reported across categories and totals.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D852" w14:textId="26372640" w:rsidR="00842479" w:rsidRDefault="008424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C33905" wp14:editId="751920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2540"/>
              <wp:wrapSquare wrapText="bothSides"/>
              <wp:docPr id="8" name="Text Box 8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70EA0" w14:textId="3798EC96" w:rsidR="00842479" w:rsidRPr="00842479" w:rsidRDefault="00842479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4247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339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iWKEi1sCAACbBAAADgAAAAAAAAAAAAAAAAAuAgAAZHJzL2Uyb0RvYy54bWxQSwECLQAU&#10;AAYACAAAACEAhLDTKNYAAAADAQAADwAAAAAAAAAAAAAAAAC1BAAAZHJzL2Rvd25yZXYueG1sUEsF&#10;BgAAAAAEAAQA8wAAALgFAAAAAA==&#10;" filled="f" stroked="f">
              <v:textbox style="mso-fit-shape-to-text:t" inset="0,0,0,0">
                <w:txbxContent>
                  <w:p w14:paraId="48170EA0" w14:textId="3798EC96" w:rsidR="00842479" w:rsidRPr="00842479" w:rsidRDefault="00842479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4247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BF70" w14:textId="66F5C44D" w:rsidR="00FC0C98" w:rsidRDefault="00FC0C98" w:rsidP="00477982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33197DE3" wp14:editId="7D78BC60">
          <wp:extent cx="7560000" cy="544479"/>
          <wp:effectExtent l="0" t="0" r="3175" b="8255"/>
          <wp:docPr id="6" name="Picture 6" descr="Purple Border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" t="19214" r="1857"/>
                  <a:stretch/>
                </pic:blipFill>
                <pic:spPr bwMode="auto">
                  <a:xfrm>
                    <a:off x="0" y="0"/>
                    <a:ext cx="7560000" cy="544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05254B" w14:textId="157944F1" w:rsidR="00FC0C98" w:rsidRDefault="00CD5C1E" w:rsidP="00A0554C">
    <w:pPr>
      <w:pStyle w:val="Header"/>
      <w:tabs>
        <w:tab w:val="clear" w:pos="9026"/>
        <w:tab w:val="right" w:pos="9333"/>
      </w:tabs>
    </w:pPr>
    <w:r>
      <w:t xml:space="preserve">Cultural and Creative </w:t>
    </w:r>
    <w:r w:rsidR="0070126E" w:rsidRPr="00CD5C1E">
      <w:t>Statistics Working Group</w:t>
    </w:r>
    <w:r w:rsidR="00FC0C98" w:rsidRPr="00A96536">
      <w:tab/>
    </w:r>
    <w:r w:rsidR="00FC0C98" w:rsidRPr="00A96536">
      <w:tab/>
    </w:r>
    <w:r w:rsidR="005A031F">
      <w:t xml:space="preserve">September </w:t>
    </w:r>
    <w:r w:rsidR="00B81667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D9E"/>
    <w:multiLevelType w:val="hybridMultilevel"/>
    <w:tmpl w:val="7900756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613"/>
    <w:multiLevelType w:val="hybridMultilevel"/>
    <w:tmpl w:val="2B48B512"/>
    <w:lvl w:ilvl="0" w:tplc="69AC7252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C6A73"/>
    <w:multiLevelType w:val="hybridMultilevel"/>
    <w:tmpl w:val="528A0C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508A"/>
    <w:multiLevelType w:val="hybridMultilevel"/>
    <w:tmpl w:val="F3CA4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15F"/>
    <w:multiLevelType w:val="hybridMultilevel"/>
    <w:tmpl w:val="04A444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39D"/>
    <w:multiLevelType w:val="hybridMultilevel"/>
    <w:tmpl w:val="5B38CF7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E1F26"/>
    <w:multiLevelType w:val="hybridMultilevel"/>
    <w:tmpl w:val="1A685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3E"/>
    <w:rsid w:val="0000313A"/>
    <w:rsid w:val="00004A49"/>
    <w:rsid w:val="000065EC"/>
    <w:rsid w:val="000203A6"/>
    <w:rsid w:val="00024E6D"/>
    <w:rsid w:val="00024EAC"/>
    <w:rsid w:val="000651E7"/>
    <w:rsid w:val="00066DCE"/>
    <w:rsid w:val="000753EF"/>
    <w:rsid w:val="00076429"/>
    <w:rsid w:val="00077A45"/>
    <w:rsid w:val="000901A4"/>
    <w:rsid w:val="000B27A8"/>
    <w:rsid w:val="000B7F04"/>
    <w:rsid w:val="000D1CCB"/>
    <w:rsid w:val="000E4262"/>
    <w:rsid w:val="000F7906"/>
    <w:rsid w:val="0010452B"/>
    <w:rsid w:val="00111A64"/>
    <w:rsid w:val="0011692D"/>
    <w:rsid w:val="00124A6F"/>
    <w:rsid w:val="001312EC"/>
    <w:rsid w:val="00134864"/>
    <w:rsid w:val="001471EA"/>
    <w:rsid w:val="001472FC"/>
    <w:rsid w:val="00156DBE"/>
    <w:rsid w:val="001715EF"/>
    <w:rsid w:val="001736CC"/>
    <w:rsid w:val="001800D2"/>
    <w:rsid w:val="00185E9F"/>
    <w:rsid w:val="00192EBC"/>
    <w:rsid w:val="00192F6D"/>
    <w:rsid w:val="0019701B"/>
    <w:rsid w:val="001C27F4"/>
    <w:rsid w:val="001C72EC"/>
    <w:rsid w:val="001C77F1"/>
    <w:rsid w:val="001C7827"/>
    <w:rsid w:val="001D64AC"/>
    <w:rsid w:val="001D7905"/>
    <w:rsid w:val="001E22B3"/>
    <w:rsid w:val="001E402F"/>
    <w:rsid w:val="0021022F"/>
    <w:rsid w:val="002117E6"/>
    <w:rsid w:val="002240CF"/>
    <w:rsid w:val="00226CF2"/>
    <w:rsid w:val="0023201F"/>
    <w:rsid w:val="00233C13"/>
    <w:rsid w:val="00234C00"/>
    <w:rsid w:val="002352F9"/>
    <w:rsid w:val="0024033A"/>
    <w:rsid w:val="00242B78"/>
    <w:rsid w:val="002454AC"/>
    <w:rsid w:val="00252875"/>
    <w:rsid w:val="00257278"/>
    <w:rsid w:val="00265D2E"/>
    <w:rsid w:val="00267B33"/>
    <w:rsid w:val="0027679D"/>
    <w:rsid w:val="00287403"/>
    <w:rsid w:val="00290FEC"/>
    <w:rsid w:val="00293128"/>
    <w:rsid w:val="00293DD6"/>
    <w:rsid w:val="002966CA"/>
    <w:rsid w:val="002A3B4B"/>
    <w:rsid w:val="002A4338"/>
    <w:rsid w:val="002A63D8"/>
    <w:rsid w:val="002B0EDB"/>
    <w:rsid w:val="002B48ED"/>
    <w:rsid w:val="002C2134"/>
    <w:rsid w:val="002C485B"/>
    <w:rsid w:val="002C5369"/>
    <w:rsid w:val="002E2477"/>
    <w:rsid w:val="002E2585"/>
    <w:rsid w:val="002E46A4"/>
    <w:rsid w:val="002F0402"/>
    <w:rsid w:val="002F3895"/>
    <w:rsid w:val="002F47FB"/>
    <w:rsid w:val="00302513"/>
    <w:rsid w:val="00303786"/>
    <w:rsid w:val="00310234"/>
    <w:rsid w:val="00327F06"/>
    <w:rsid w:val="00335334"/>
    <w:rsid w:val="00336DDD"/>
    <w:rsid w:val="0034581A"/>
    <w:rsid w:val="00363704"/>
    <w:rsid w:val="003703DD"/>
    <w:rsid w:val="00371043"/>
    <w:rsid w:val="0037364C"/>
    <w:rsid w:val="00377488"/>
    <w:rsid w:val="00381364"/>
    <w:rsid w:val="00382743"/>
    <w:rsid w:val="0039367A"/>
    <w:rsid w:val="00394F53"/>
    <w:rsid w:val="003A1DE1"/>
    <w:rsid w:val="003A78ED"/>
    <w:rsid w:val="003B5B1D"/>
    <w:rsid w:val="003C73DB"/>
    <w:rsid w:val="003D142F"/>
    <w:rsid w:val="003D5116"/>
    <w:rsid w:val="003E4B91"/>
    <w:rsid w:val="003E78EF"/>
    <w:rsid w:val="003F495D"/>
    <w:rsid w:val="00400E77"/>
    <w:rsid w:val="0041185C"/>
    <w:rsid w:val="00420E56"/>
    <w:rsid w:val="00423090"/>
    <w:rsid w:val="00426F0B"/>
    <w:rsid w:val="00433E7A"/>
    <w:rsid w:val="00436F4C"/>
    <w:rsid w:val="00443A7A"/>
    <w:rsid w:val="00445197"/>
    <w:rsid w:val="00450D6E"/>
    <w:rsid w:val="00456F44"/>
    <w:rsid w:val="00467552"/>
    <w:rsid w:val="004715AF"/>
    <w:rsid w:val="004755A2"/>
    <w:rsid w:val="00477982"/>
    <w:rsid w:val="00480764"/>
    <w:rsid w:val="004819E5"/>
    <w:rsid w:val="0048509A"/>
    <w:rsid w:val="0048626B"/>
    <w:rsid w:val="0048644E"/>
    <w:rsid w:val="004B79EA"/>
    <w:rsid w:val="004D0B6D"/>
    <w:rsid w:val="004E2959"/>
    <w:rsid w:val="004E59C7"/>
    <w:rsid w:val="004F1EAB"/>
    <w:rsid w:val="00503CD4"/>
    <w:rsid w:val="00506643"/>
    <w:rsid w:val="00511C7B"/>
    <w:rsid w:val="00512608"/>
    <w:rsid w:val="00514C96"/>
    <w:rsid w:val="00525943"/>
    <w:rsid w:val="00526687"/>
    <w:rsid w:val="005327EC"/>
    <w:rsid w:val="005377F7"/>
    <w:rsid w:val="00542695"/>
    <w:rsid w:val="00544465"/>
    <w:rsid w:val="005534E9"/>
    <w:rsid w:val="005562BD"/>
    <w:rsid w:val="005579A8"/>
    <w:rsid w:val="00561190"/>
    <w:rsid w:val="005658F1"/>
    <w:rsid w:val="00565B47"/>
    <w:rsid w:val="005741CF"/>
    <w:rsid w:val="00575A5A"/>
    <w:rsid w:val="005932D0"/>
    <w:rsid w:val="00597F9B"/>
    <w:rsid w:val="005A031F"/>
    <w:rsid w:val="005A5AC7"/>
    <w:rsid w:val="005B3551"/>
    <w:rsid w:val="005C6252"/>
    <w:rsid w:val="005C7C65"/>
    <w:rsid w:val="005C7F3F"/>
    <w:rsid w:val="005E0185"/>
    <w:rsid w:val="005F23E0"/>
    <w:rsid w:val="005F7F47"/>
    <w:rsid w:val="00605481"/>
    <w:rsid w:val="0061446D"/>
    <w:rsid w:val="0061583E"/>
    <w:rsid w:val="00625397"/>
    <w:rsid w:val="00626F23"/>
    <w:rsid w:val="00627080"/>
    <w:rsid w:val="00636865"/>
    <w:rsid w:val="00637854"/>
    <w:rsid w:val="0064138E"/>
    <w:rsid w:val="00641912"/>
    <w:rsid w:val="0066760D"/>
    <w:rsid w:val="00677BF2"/>
    <w:rsid w:val="00693994"/>
    <w:rsid w:val="006970A6"/>
    <w:rsid w:val="006A08AD"/>
    <w:rsid w:val="006A1AFE"/>
    <w:rsid w:val="006A2F0E"/>
    <w:rsid w:val="006C4BC7"/>
    <w:rsid w:val="006C5A9D"/>
    <w:rsid w:val="006D0316"/>
    <w:rsid w:val="006F06FD"/>
    <w:rsid w:val="006F4C05"/>
    <w:rsid w:val="0070126E"/>
    <w:rsid w:val="00702DE5"/>
    <w:rsid w:val="00705B86"/>
    <w:rsid w:val="00705FA6"/>
    <w:rsid w:val="00725BF3"/>
    <w:rsid w:val="007260A2"/>
    <w:rsid w:val="007316EF"/>
    <w:rsid w:val="0074751D"/>
    <w:rsid w:val="00753BB6"/>
    <w:rsid w:val="00756B9B"/>
    <w:rsid w:val="00784F67"/>
    <w:rsid w:val="007907C5"/>
    <w:rsid w:val="007A4B0F"/>
    <w:rsid w:val="007A5DD1"/>
    <w:rsid w:val="007C082B"/>
    <w:rsid w:val="007C4542"/>
    <w:rsid w:val="007E400E"/>
    <w:rsid w:val="007F1B6E"/>
    <w:rsid w:val="00813AD2"/>
    <w:rsid w:val="008169A6"/>
    <w:rsid w:val="00820CF9"/>
    <w:rsid w:val="0082186E"/>
    <w:rsid w:val="008228E2"/>
    <w:rsid w:val="00834DE8"/>
    <w:rsid w:val="00837A02"/>
    <w:rsid w:val="00842479"/>
    <w:rsid w:val="00842CA0"/>
    <w:rsid w:val="00860C86"/>
    <w:rsid w:val="008646E6"/>
    <w:rsid w:val="00866475"/>
    <w:rsid w:val="00867254"/>
    <w:rsid w:val="00886388"/>
    <w:rsid w:val="008914D6"/>
    <w:rsid w:val="00893360"/>
    <w:rsid w:val="0089363F"/>
    <w:rsid w:val="00896A41"/>
    <w:rsid w:val="008A4B1F"/>
    <w:rsid w:val="008B2A19"/>
    <w:rsid w:val="008B3A97"/>
    <w:rsid w:val="008B767F"/>
    <w:rsid w:val="008C0B20"/>
    <w:rsid w:val="008D29AB"/>
    <w:rsid w:val="008D4A1F"/>
    <w:rsid w:val="008D4E53"/>
    <w:rsid w:val="008D7AAA"/>
    <w:rsid w:val="008E036D"/>
    <w:rsid w:val="008F6349"/>
    <w:rsid w:val="008F7FA4"/>
    <w:rsid w:val="00905E68"/>
    <w:rsid w:val="00910C4A"/>
    <w:rsid w:val="00912280"/>
    <w:rsid w:val="00920F57"/>
    <w:rsid w:val="00927FF3"/>
    <w:rsid w:val="009313D2"/>
    <w:rsid w:val="00937283"/>
    <w:rsid w:val="0094124E"/>
    <w:rsid w:val="00957422"/>
    <w:rsid w:val="009654E0"/>
    <w:rsid w:val="00966C24"/>
    <w:rsid w:val="00990552"/>
    <w:rsid w:val="00991EBB"/>
    <w:rsid w:val="009B15EC"/>
    <w:rsid w:val="009B74C6"/>
    <w:rsid w:val="009B7EF0"/>
    <w:rsid w:val="009C01D1"/>
    <w:rsid w:val="009C47F7"/>
    <w:rsid w:val="009C627D"/>
    <w:rsid w:val="009D0D57"/>
    <w:rsid w:val="009D75CD"/>
    <w:rsid w:val="009E12E4"/>
    <w:rsid w:val="009E42CC"/>
    <w:rsid w:val="009E7932"/>
    <w:rsid w:val="009F7CC4"/>
    <w:rsid w:val="00A0379B"/>
    <w:rsid w:val="00A0554C"/>
    <w:rsid w:val="00A06663"/>
    <w:rsid w:val="00A06D09"/>
    <w:rsid w:val="00A0756F"/>
    <w:rsid w:val="00A150F0"/>
    <w:rsid w:val="00A22246"/>
    <w:rsid w:val="00A241FE"/>
    <w:rsid w:val="00A33B73"/>
    <w:rsid w:val="00A35CD0"/>
    <w:rsid w:val="00A37719"/>
    <w:rsid w:val="00A44D6C"/>
    <w:rsid w:val="00A46A1E"/>
    <w:rsid w:val="00A55609"/>
    <w:rsid w:val="00A57B08"/>
    <w:rsid w:val="00A606B1"/>
    <w:rsid w:val="00A63C62"/>
    <w:rsid w:val="00A66771"/>
    <w:rsid w:val="00A75A43"/>
    <w:rsid w:val="00A830DE"/>
    <w:rsid w:val="00A91A72"/>
    <w:rsid w:val="00A93EA2"/>
    <w:rsid w:val="00AA1A46"/>
    <w:rsid w:val="00AA349E"/>
    <w:rsid w:val="00AA38E6"/>
    <w:rsid w:val="00AA620D"/>
    <w:rsid w:val="00AC0151"/>
    <w:rsid w:val="00AC027C"/>
    <w:rsid w:val="00AC0B64"/>
    <w:rsid w:val="00AC1A69"/>
    <w:rsid w:val="00AE4F02"/>
    <w:rsid w:val="00AF0EE7"/>
    <w:rsid w:val="00AF5FC0"/>
    <w:rsid w:val="00B049A4"/>
    <w:rsid w:val="00B04E5C"/>
    <w:rsid w:val="00B057BB"/>
    <w:rsid w:val="00B05B65"/>
    <w:rsid w:val="00B1045C"/>
    <w:rsid w:val="00B116EB"/>
    <w:rsid w:val="00B216AB"/>
    <w:rsid w:val="00B32DA1"/>
    <w:rsid w:val="00B37E98"/>
    <w:rsid w:val="00B40771"/>
    <w:rsid w:val="00B43B95"/>
    <w:rsid w:val="00B43C56"/>
    <w:rsid w:val="00B50B25"/>
    <w:rsid w:val="00B54081"/>
    <w:rsid w:val="00B55747"/>
    <w:rsid w:val="00B704AE"/>
    <w:rsid w:val="00B723E4"/>
    <w:rsid w:val="00B81667"/>
    <w:rsid w:val="00B86CE3"/>
    <w:rsid w:val="00B93737"/>
    <w:rsid w:val="00B945EA"/>
    <w:rsid w:val="00B96893"/>
    <w:rsid w:val="00BA0771"/>
    <w:rsid w:val="00BA0A5A"/>
    <w:rsid w:val="00BC0D30"/>
    <w:rsid w:val="00BC2AAF"/>
    <w:rsid w:val="00BC329E"/>
    <w:rsid w:val="00BC4BB1"/>
    <w:rsid w:val="00BC7D72"/>
    <w:rsid w:val="00BD29D7"/>
    <w:rsid w:val="00BE1ACB"/>
    <w:rsid w:val="00BE1F34"/>
    <w:rsid w:val="00BE7E66"/>
    <w:rsid w:val="00C01FBB"/>
    <w:rsid w:val="00C12049"/>
    <w:rsid w:val="00C14D51"/>
    <w:rsid w:val="00C16794"/>
    <w:rsid w:val="00C21780"/>
    <w:rsid w:val="00C240E2"/>
    <w:rsid w:val="00C32044"/>
    <w:rsid w:val="00C3334D"/>
    <w:rsid w:val="00C3695F"/>
    <w:rsid w:val="00C451EE"/>
    <w:rsid w:val="00C52D16"/>
    <w:rsid w:val="00C55F55"/>
    <w:rsid w:val="00C57B67"/>
    <w:rsid w:val="00C94DDE"/>
    <w:rsid w:val="00CC4247"/>
    <w:rsid w:val="00CC6E24"/>
    <w:rsid w:val="00CC75CC"/>
    <w:rsid w:val="00CD0CB6"/>
    <w:rsid w:val="00CD49EA"/>
    <w:rsid w:val="00CD5C1E"/>
    <w:rsid w:val="00CE07F2"/>
    <w:rsid w:val="00CE5C90"/>
    <w:rsid w:val="00CE72E8"/>
    <w:rsid w:val="00D03AE2"/>
    <w:rsid w:val="00D03C22"/>
    <w:rsid w:val="00D078A3"/>
    <w:rsid w:val="00D14C03"/>
    <w:rsid w:val="00D20730"/>
    <w:rsid w:val="00D44042"/>
    <w:rsid w:val="00D47936"/>
    <w:rsid w:val="00D521E7"/>
    <w:rsid w:val="00D56E77"/>
    <w:rsid w:val="00D746E5"/>
    <w:rsid w:val="00D75C4E"/>
    <w:rsid w:val="00D776B6"/>
    <w:rsid w:val="00D86CAA"/>
    <w:rsid w:val="00D92957"/>
    <w:rsid w:val="00DA7469"/>
    <w:rsid w:val="00DB4FA3"/>
    <w:rsid w:val="00DB7840"/>
    <w:rsid w:val="00DC17B6"/>
    <w:rsid w:val="00DC2DFA"/>
    <w:rsid w:val="00DC4933"/>
    <w:rsid w:val="00DC6A98"/>
    <w:rsid w:val="00DD492F"/>
    <w:rsid w:val="00DD4ACA"/>
    <w:rsid w:val="00DD5D52"/>
    <w:rsid w:val="00DD7EDE"/>
    <w:rsid w:val="00DF4EDD"/>
    <w:rsid w:val="00E03DF5"/>
    <w:rsid w:val="00E05717"/>
    <w:rsid w:val="00E06D3D"/>
    <w:rsid w:val="00E1035D"/>
    <w:rsid w:val="00E22C72"/>
    <w:rsid w:val="00E23218"/>
    <w:rsid w:val="00E26510"/>
    <w:rsid w:val="00E41E21"/>
    <w:rsid w:val="00E42F9F"/>
    <w:rsid w:val="00E46A2A"/>
    <w:rsid w:val="00E51D5C"/>
    <w:rsid w:val="00E546B0"/>
    <w:rsid w:val="00E61EB0"/>
    <w:rsid w:val="00E71039"/>
    <w:rsid w:val="00E76886"/>
    <w:rsid w:val="00E80B2E"/>
    <w:rsid w:val="00E819BF"/>
    <w:rsid w:val="00E85276"/>
    <w:rsid w:val="00E92EB5"/>
    <w:rsid w:val="00E97404"/>
    <w:rsid w:val="00EA2F26"/>
    <w:rsid w:val="00EA5BA4"/>
    <w:rsid w:val="00EA6D34"/>
    <w:rsid w:val="00EB40A5"/>
    <w:rsid w:val="00EC65DD"/>
    <w:rsid w:val="00EE5043"/>
    <w:rsid w:val="00EE7759"/>
    <w:rsid w:val="00EF213E"/>
    <w:rsid w:val="00EF61B4"/>
    <w:rsid w:val="00EF7C45"/>
    <w:rsid w:val="00F02CC1"/>
    <w:rsid w:val="00F16AD9"/>
    <w:rsid w:val="00F16FEF"/>
    <w:rsid w:val="00F239E3"/>
    <w:rsid w:val="00F242E6"/>
    <w:rsid w:val="00F33EF0"/>
    <w:rsid w:val="00F3567E"/>
    <w:rsid w:val="00F408EE"/>
    <w:rsid w:val="00F56262"/>
    <w:rsid w:val="00F56B2A"/>
    <w:rsid w:val="00F655DB"/>
    <w:rsid w:val="00F67604"/>
    <w:rsid w:val="00F701E3"/>
    <w:rsid w:val="00F7051B"/>
    <w:rsid w:val="00F80DDD"/>
    <w:rsid w:val="00F8251E"/>
    <w:rsid w:val="00F8384C"/>
    <w:rsid w:val="00F86620"/>
    <w:rsid w:val="00F86DEA"/>
    <w:rsid w:val="00F91E25"/>
    <w:rsid w:val="00F9394E"/>
    <w:rsid w:val="00F9793C"/>
    <w:rsid w:val="00F97C59"/>
    <w:rsid w:val="00FC0C98"/>
    <w:rsid w:val="00FC16F3"/>
    <w:rsid w:val="00FC2CDB"/>
    <w:rsid w:val="00FC4B67"/>
    <w:rsid w:val="00FE3D08"/>
    <w:rsid w:val="00FE6B97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17295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52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A98"/>
    <w:pPr>
      <w:keepNext/>
      <w:spacing w:before="360" w:after="240"/>
      <w:outlineLvl w:val="0"/>
    </w:pPr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B78"/>
    <w:pPr>
      <w:keepNext/>
      <w:outlineLvl w:val="1"/>
    </w:pPr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B78"/>
    <w:pPr>
      <w:keepNext/>
      <w:spacing w:after="120"/>
      <w:outlineLvl w:val="2"/>
    </w:pPr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78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78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554B8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B78"/>
    <w:pPr>
      <w:keepNext/>
      <w:keepLines/>
      <w:spacing w:after="60"/>
      <w:outlineLvl w:val="5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2B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2B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2B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98"/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42B78"/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2B78"/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6262"/>
    <w:rPr>
      <w:b/>
      <w:color w:val="554B87"/>
      <w:u w:val="single"/>
    </w:rPr>
  </w:style>
  <w:style w:type="paragraph" w:customStyle="1" w:styleId="Bulletlevel1">
    <w:name w:val="Bullet level 1"/>
    <w:basedOn w:val="Normal"/>
    <w:qFormat/>
    <w:rsid w:val="002117E6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67552"/>
    <w:pPr>
      <w:ind w:left="567"/>
    </w:pPr>
    <w:rPr>
      <w:rFonts w:eastAsiaTheme="minorHAnsi"/>
      <w:b/>
      <w:i/>
      <w:iCs/>
      <w:color w:val="554B87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67552"/>
    <w:rPr>
      <w:rFonts w:eastAsiaTheme="minorHAnsi"/>
      <w:b/>
      <w:i/>
      <w:iCs/>
      <w:color w:val="554B87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7E6"/>
  </w:style>
  <w:style w:type="paragraph" w:styleId="Footer">
    <w:name w:val="footer"/>
    <w:basedOn w:val="Normal"/>
    <w:link w:val="Foot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7E6"/>
  </w:style>
  <w:style w:type="character" w:customStyle="1" w:styleId="Heading4Char">
    <w:name w:val="Heading 4 Char"/>
    <w:basedOn w:val="DefaultParagraphFont"/>
    <w:link w:val="Heading4"/>
    <w:uiPriority w:val="9"/>
    <w:rsid w:val="00242B78"/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2B78"/>
    <w:rPr>
      <w:rFonts w:asciiTheme="majorHAnsi" w:eastAsiaTheme="majorEastAsia" w:hAnsiTheme="majorHAnsi" w:cstheme="majorBidi"/>
      <w:b/>
      <w:color w:val="554B87"/>
    </w:rPr>
  </w:style>
  <w:style w:type="table" w:styleId="TableGrid">
    <w:name w:val="Table Grid"/>
    <w:basedOn w:val="TableNormal"/>
    <w:uiPriority w:val="39"/>
    <w:rsid w:val="002117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8B767F"/>
    <w:pPr>
      <w:keepNext/>
      <w:spacing w:after="0"/>
    </w:pPr>
    <w:rPr>
      <w:rFonts w:asciiTheme="majorHAnsi" w:eastAsiaTheme="minorHAnsi" w:hAnsiTheme="majorHAnsi"/>
      <w:b/>
      <w:color w:val="554B87"/>
      <w:lang w:eastAsia="en-US"/>
    </w:rPr>
  </w:style>
  <w:style w:type="paragraph" w:customStyle="1" w:styleId="Tabletextcentred">
    <w:name w:val="Table text centred"/>
    <w:basedOn w:val="Normal"/>
    <w:next w:val="NoSpacing"/>
    <w:rsid w:val="002117E6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2117E6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2117E6"/>
    <w:pPr>
      <w:jc w:val="left"/>
    </w:pPr>
  </w:style>
  <w:style w:type="paragraph" w:styleId="NoSpacing">
    <w:name w:val="No Spacing"/>
    <w:uiPriority w:val="1"/>
    <w:qFormat/>
    <w:rsid w:val="002117E6"/>
    <w:pPr>
      <w:spacing w:after="0" w:line="240" w:lineRule="auto"/>
    </w:pPr>
  </w:style>
  <w:style w:type="paragraph" w:customStyle="1" w:styleId="Tablerowcolumnheading">
    <w:name w:val="Table row/column heading"/>
    <w:basedOn w:val="Normal"/>
    <w:next w:val="Normal"/>
    <w:rsid w:val="002117E6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level1"/>
    <w:qFormat/>
    <w:rsid w:val="002117E6"/>
    <w:pPr>
      <w:numPr>
        <w:numId w:val="2"/>
      </w:numPr>
      <w:spacing w:after="0"/>
      <w:ind w:left="567" w:hanging="567"/>
    </w:pPr>
  </w:style>
  <w:style w:type="character" w:customStyle="1" w:styleId="Heading6Char">
    <w:name w:val="Heading 6 Char"/>
    <w:basedOn w:val="DefaultParagraphFont"/>
    <w:link w:val="Heading6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7Char">
    <w:name w:val="Heading 7 Char"/>
    <w:basedOn w:val="DefaultParagraphFont"/>
    <w:link w:val="Heading7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8Char">
    <w:name w:val="Heading 8 Char"/>
    <w:basedOn w:val="DefaultParagraphFont"/>
    <w:link w:val="Heading8"/>
    <w:uiPriority w:val="9"/>
    <w:rsid w:val="00242B78"/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42B78"/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styleId="PlaceholderText">
    <w:name w:val="Placeholder Text"/>
    <w:basedOn w:val="DefaultParagraphFont"/>
    <w:uiPriority w:val="99"/>
    <w:semiHidden/>
    <w:rsid w:val="006413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7EF0"/>
    <w:rPr>
      <w:color w:val="15558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24E"/>
    <w:rPr>
      <w:color w:val="808080"/>
      <w:shd w:val="clear" w:color="auto" w:fill="E6E6E6"/>
    </w:rPr>
  </w:style>
  <w:style w:type="paragraph" w:customStyle="1" w:styleId="Heading2-notshowing">
    <w:name w:val="Heading 2 - not showing"/>
    <w:basedOn w:val="Heading2"/>
    <w:qFormat/>
    <w:rsid w:val="00D03AE2"/>
    <w:pPr>
      <w:spacing w:after="120"/>
    </w:pPr>
    <w:rPr>
      <w:sz w:val="32"/>
    </w:rPr>
  </w:style>
  <w:style w:type="paragraph" w:customStyle="1" w:styleId="Heading3-notshowing">
    <w:name w:val="Heading 3 - not showing"/>
    <w:basedOn w:val="Heading3"/>
    <w:qFormat/>
    <w:rsid w:val="00D03AE2"/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4755A2"/>
    <w:pPr>
      <w:tabs>
        <w:tab w:val="right" w:leader="dot" w:pos="9072"/>
      </w:tabs>
      <w:spacing w:before="120" w:after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1134"/>
    </w:pPr>
  </w:style>
  <w:style w:type="paragraph" w:styleId="TOC4">
    <w:name w:val="toc 4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</w:pPr>
  </w:style>
  <w:style w:type="paragraph" w:customStyle="1" w:styleId="Sourcenote">
    <w:name w:val="Source / note"/>
    <w:basedOn w:val="Normal"/>
    <w:next w:val="Normal"/>
    <w:qFormat/>
    <w:rsid w:val="00C167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6794"/>
    <w:pPr>
      <w:numPr>
        <w:numId w:val="3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B1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B1D"/>
    <w:rPr>
      <w:vertAlign w:val="superscript"/>
    </w:rPr>
  </w:style>
  <w:style w:type="character" w:customStyle="1" w:styleId="superscriptfootnotereference">
    <w:name w:val="superscript footnote reference"/>
    <w:basedOn w:val="FootnoteReference"/>
    <w:uiPriority w:val="1"/>
    <w:qFormat/>
    <w:rsid w:val="003B5B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2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4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cid:image001.png@01D8701A.460DF4D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minsrvad.sa.gov.au\DfsRoot\DataDPC\ArtsSA\ABS\Cultural%20Funding%20Collections\2023-24\Publication\Working\4%20-%20SA\SA-analysis-23-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minsrvad.sa.gov.au\DfsRoot\DataDPC\ArtsSA\ABS\Cultural%20Funding%20Collections\2023-24\Publication\Working\4%20-%20SA\SA-analysis-23-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minsrvad.sa.gov.au\DfsRoot\DataDPC\ArtsSA\ABS\Cultural%20Funding%20Collections\2023-24\Publication\Working\4%20-%20SA\SA-analysis-23-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488582131117108E-2"/>
          <c:y val="0.11547344110854503"/>
          <c:w val="0.90299824172463883"/>
          <c:h val="0.72721281664272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Working!$B$39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Working!$A$40:$A$43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Working!$B$40:$B$43</c:f>
              <c:numCache>
                <c:formatCode>#,##0.0</c:formatCode>
                <c:ptCount val="4"/>
                <c:pt idx="0">
                  <c:v>13.2</c:v>
                </c:pt>
                <c:pt idx="1">
                  <c:v>36.9</c:v>
                </c:pt>
                <c:pt idx="2">
                  <c:v>36.4</c:v>
                </c:pt>
                <c:pt idx="3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20-4C06-91BA-2A164F03EADA}"/>
            </c:ext>
          </c:extLst>
        </c:ser>
        <c:ser>
          <c:idx val="1"/>
          <c:order val="1"/>
          <c:tx>
            <c:strRef>
              <c:f>Working!$C$39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Working!$A$40:$A$43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Working!$C$40:$C$43</c:f>
              <c:numCache>
                <c:formatCode>#,##0.0</c:formatCode>
                <c:ptCount val="4"/>
                <c:pt idx="0">
                  <c:v>14.4</c:v>
                </c:pt>
                <c:pt idx="1">
                  <c:v>59.9</c:v>
                </c:pt>
                <c:pt idx="2">
                  <c:v>35.1</c:v>
                </c:pt>
                <c:pt idx="3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20-4C06-91BA-2A164F03EADA}"/>
            </c:ext>
          </c:extLst>
        </c:ser>
        <c:ser>
          <c:idx val="2"/>
          <c:order val="2"/>
          <c:tx>
            <c:strRef>
              <c:f>Working!$D$39</c:f>
              <c:strCache>
                <c:ptCount val="1"/>
                <c:pt idx="0">
                  <c:v>2023-24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Working!$A$40:$A$43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Working!$D$40:$D$43</c:f>
              <c:numCache>
                <c:formatCode>#,##0.0</c:formatCode>
                <c:ptCount val="4"/>
                <c:pt idx="0">
                  <c:v>14.655000000000001</c:v>
                </c:pt>
                <c:pt idx="1">
                  <c:v>44.524999999999999</c:v>
                </c:pt>
                <c:pt idx="2">
                  <c:v>34.984000000000002</c:v>
                </c:pt>
                <c:pt idx="3">
                  <c:v>6.298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20-4C06-91BA-2A164F03E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999115784"/>
        <c:axId val="999117224"/>
      </c:barChart>
      <c:catAx>
        <c:axId val="99911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117224"/>
        <c:crosses val="autoZero"/>
        <c:auto val="1"/>
        <c:lblAlgn val="ctr"/>
        <c:lblOffset val="100"/>
        <c:noMultiLvlLbl val="0"/>
      </c:catAx>
      <c:valAx>
        <c:axId val="999117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>
                    <a:solidFill>
                      <a:schemeClr val="tx1"/>
                    </a:solidFill>
                  </a:rPr>
                  <a:t> $m</a:t>
                </a:r>
              </a:p>
            </c:rich>
          </c:tx>
          <c:layout>
            <c:manualLayout>
              <c:xMode val="edge"/>
              <c:yMode val="edge"/>
              <c:x val="5.0457253965264749E-3"/>
              <c:y val="7.209179683948282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11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885649495900192"/>
          <c:y val="4.9870674999294727E-2"/>
          <c:w val="0.13606386099052872"/>
          <c:h val="0.174724954992635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025349578993261E-2"/>
          <c:y val="0.12009237875288684"/>
          <c:w val="0.92555791585363212"/>
          <c:h val="0.68571148006037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Working!$B$48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Working!$A$49:$A$54</c:f>
              <c:strCache>
                <c:ptCount val="6"/>
                <c:pt idx="0">
                  <c:v>Music </c:v>
                </c:pt>
                <c:pt idx="1">
                  <c:v>Performing arts venues</c:v>
                </c:pt>
                <c:pt idx="2">
                  <c:v>Cross-art form</c:v>
                </c:pt>
                <c:pt idx="3">
                  <c:v>Arts education</c:v>
                </c:pt>
                <c:pt idx="4">
                  <c:v>Multi-arts festivals</c:v>
                </c:pt>
                <c:pt idx="5">
                  <c:v>Arts administration</c:v>
                </c:pt>
              </c:strCache>
            </c:strRef>
          </c:cat>
          <c:val>
            <c:numRef>
              <c:f>Working!$B$49:$B$54</c:f>
              <c:numCache>
                <c:formatCode>#,##0.0</c:formatCode>
                <c:ptCount val="6"/>
                <c:pt idx="0">
                  <c:v>12.1</c:v>
                </c:pt>
                <c:pt idx="1">
                  <c:v>40.799999999999997</c:v>
                </c:pt>
                <c:pt idx="2">
                  <c:v>10.6</c:v>
                </c:pt>
                <c:pt idx="3">
                  <c:v>16.8</c:v>
                </c:pt>
                <c:pt idx="4">
                  <c:v>19.399999999999999</c:v>
                </c:pt>
                <c:pt idx="5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BD-4EE7-A8B8-444884A77963}"/>
            </c:ext>
          </c:extLst>
        </c:ser>
        <c:ser>
          <c:idx val="1"/>
          <c:order val="1"/>
          <c:tx>
            <c:strRef>
              <c:f>Working!$C$48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Working!$A$49:$A$54</c:f>
              <c:strCache>
                <c:ptCount val="6"/>
                <c:pt idx="0">
                  <c:v>Music </c:v>
                </c:pt>
                <c:pt idx="1">
                  <c:v>Performing arts venues</c:v>
                </c:pt>
                <c:pt idx="2">
                  <c:v>Cross-art form</c:v>
                </c:pt>
                <c:pt idx="3">
                  <c:v>Arts education</c:v>
                </c:pt>
                <c:pt idx="4">
                  <c:v>Multi-arts festivals</c:v>
                </c:pt>
                <c:pt idx="5">
                  <c:v>Arts administration</c:v>
                </c:pt>
              </c:strCache>
            </c:strRef>
          </c:cat>
          <c:val>
            <c:numRef>
              <c:f>Working!$C$49:$C$54</c:f>
              <c:numCache>
                <c:formatCode>#,##0.0</c:formatCode>
                <c:ptCount val="6"/>
                <c:pt idx="0">
                  <c:v>12.9</c:v>
                </c:pt>
                <c:pt idx="1">
                  <c:v>61.4</c:v>
                </c:pt>
                <c:pt idx="2">
                  <c:v>7.6</c:v>
                </c:pt>
                <c:pt idx="3">
                  <c:v>16</c:v>
                </c:pt>
                <c:pt idx="4">
                  <c:v>19.3</c:v>
                </c:pt>
                <c:pt idx="5">
                  <c:v>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BD-4EE7-A8B8-444884A77963}"/>
            </c:ext>
          </c:extLst>
        </c:ser>
        <c:ser>
          <c:idx val="2"/>
          <c:order val="2"/>
          <c:tx>
            <c:strRef>
              <c:f>Working!$D$48</c:f>
              <c:strCache>
                <c:ptCount val="1"/>
                <c:pt idx="0">
                  <c:v>2023-24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Working!$A$49:$A$54</c:f>
              <c:strCache>
                <c:ptCount val="6"/>
                <c:pt idx="0">
                  <c:v>Music </c:v>
                </c:pt>
                <c:pt idx="1">
                  <c:v>Performing arts venues</c:v>
                </c:pt>
                <c:pt idx="2">
                  <c:v>Cross-art form</c:v>
                </c:pt>
                <c:pt idx="3">
                  <c:v>Arts education</c:v>
                </c:pt>
                <c:pt idx="4">
                  <c:v>Multi-arts festivals</c:v>
                </c:pt>
                <c:pt idx="5">
                  <c:v>Arts administration</c:v>
                </c:pt>
              </c:strCache>
            </c:strRef>
          </c:cat>
          <c:val>
            <c:numRef>
              <c:f>Working!$D$49:$D$54</c:f>
              <c:numCache>
                <c:formatCode>#,##0.0</c:formatCode>
                <c:ptCount val="6"/>
                <c:pt idx="0">
                  <c:v>12.833</c:v>
                </c:pt>
                <c:pt idx="1">
                  <c:v>164.32000000000002</c:v>
                </c:pt>
                <c:pt idx="2">
                  <c:v>11.159000000000001</c:v>
                </c:pt>
                <c:pt idx="3">
                  <c:v>13.170999999999999</c:v>
                </c:pt>
                <c:pt idx="4">
                  <c:v>19.975000000000001</c:v>
                </c:pt>
                <c:pt idx="5">
                  <c:v>10.939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BD-4EE7-A8B8-444884A77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1029324664"/>
        <c:axId val="1029330424"/>
      </c:barChart>
      <c:catAx>
        <c:axId val="102932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330424"/>
        <c:crosses val="autoZero"/>
        <c:auto val="1"/>
        <c:lblAlgn val="ctr"/>
        <c:lblOffset val="100"/>
        <c:noMultiLvlLbl val="0"/>
      </c:catAx>
      <c:valAx>
        <c:axId val="1029330424"/>
        <c:scaling>
          <c:orientation val="minMax"/>
          <c:max val="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>
                    <a:solidFill>
                      <a:sysClr val="windowText" lastClr="000000"/>
                    </a:solidFill>
                  </a:rPr>
                  <a:t>$m</a:t>
                </a:r>
              </a:p>
            </c:rich>
          </c:tx>
          <c:layout>
            <c:manualLayout>
              <c:xMode val="edge"/>
              <c:yMode val="edge"/>
              <c:x val="6.3863821547385192E-3"/>
              <c:y val="1.674710407157532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324664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144178360087694"/>
          <c:y val="5.369460457165718E-2"/>
          <c:w val="0.12986850590002813"/>
          <c:h val="0.198037497044971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177999409922595"/>
          <c:y val="5.0808314087759814E-2"/>
          <c:w val="0.67009850750894051"/>
          <c:h val="0.847383241273945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Working!$B$60</c:f>
              <c:strCache>
                <c:ptCount val="1"/>
                <c:pt idx="0">
                  <c:v>2023-24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Working!$A$61:$A$68</c:f>
              <c:strCache>
                <c:ptCount val="8"/>
                <c:pt idx="0">
                  <c:v>Arts administration</c:v>
                </c:pt>
                <c:pt idx="1">
                  <c:v>Multi-arts festivals</c:v>
                </c:pt>
                <c:pt idx="2">
                  <c:v>Arts education</c:v>
                </c:pt>
                <c:pt idx="3">
                  <c:v>Cross-art form</c:v>
                </c:pt>
                <c:pt idx="4">
                  <c:v>Performing arts venues</c:v>
                </c:pt>
                <c:pt idx="5">
                  <c:v>Music </c:v>
                </c:pt>
                <c:pt idx="6">
                  <c:v>Libraries</c:v>
                </c:pt>
                <c:pt idx="7">
                  <c:v>Other museums &amp; cultural heritage</c:v>
                </c:pt>
              </c:strCache>
            </c:strRef>
          </c:cat>
          <c:val>
            <c:numRef>
              <c:f>Working!$B$61:$B$68</c:f>
              <c:numCache>
                <c:formatCode>#,##0.0</c:formatCode>
                <c:ptCount val="8"/>
                <c:pt idx="0">
                  <c:v>10.939</c:v>
                </c:pt>
                <c:pt idx="1">
                  <c:v>19.975000000000001</c:v>
                </c:pt>
                <c:pt idx="2">
                  <c:v>13.170999999999999</c:v>
                </c:pt>
                <c:pt idx="3">
                  <c:v>11.159000000000001</c:v>
                </c:pt>
                <c:pt idx="4">
                  <c:v>16.312000000000001</c:v>
                </c:pt>
                <c:pt idx="5">
                  <c:v>12.833</c:v>
                </c:pt>
                <c:pt idx="6">
                  <c:v>34.302</c:v>
                </c:pt>
                <c:pt idx="7">
                  <c:v>33.277000000000001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9-44B0-B58D-AB34D1B5ED3B}"/>
            </c:ext>
          </c:extLst>
        </c:ser>
        <c:ser>
          <c:idx val="1"/>
          <c:order val="1"/>
          <c:tx>
            <c:strRef>
              <c:f>Working!$C$60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Working!$A$61:$A$68</c:f>
              <c:strCache>
                <c:ptCount val="8"/>
                <c:pt idx="0">
                  <c:v>Arts administration</c:v>
                </c:pt>
                <c:pt idx="1">
                  <c:v>Multi-arts festivals</c:v>
                </c:pt>
                <c:pt idx="2">
                  <c:v>Arts education</c:v>
                </c:pt>
                <c:pt idx="3">
                  <c:v>Cross-art form</c:v>
                </c:pt>
                <c:pt idx="4">
                  <c:v>Performing arts venues</c:v>
                </c:pt>
                <c:pt idx="5">
                  <c:v>Music </c:v>
                </c:pt>
                <c:pt idx="6">
                  <c:v>Libraries</c:v>
                </c:pt>
                <c:pt idx="7">
                  <c:v>Other museums &amp; cultural heritage</c:v>
                </c:pt>
              </c:strCache>
            </c:strRef>
          </c:cat>
          <c:val>
            <c:numRef>
              <c:f>Working!$C$61:$C$68</c:f>
              <c:numCache>
                <c:formatCode>#,##0.0</c:formatCode>
                <c:ptCount val="8"/>
                <c:pt idx="0">
                  <c:v>9.1</c:v>
                </c:pt>
                <c:pt idx="1">
                  <c:v>19.3</c:v>
                </c:pt>
                <c:pt idx="2">
                  <c:v>16</c:v>
                </c:pt>
                <c:pt idx="3">
                  <c:v>7.6</c:v>
                </c:pt>
                <c:pt idx="4">
                  <c:v>46.2</c:v>
                </c:pt>
                <c:pt idx="5">
                  <c:v>12.9</c:v>
                </c:pt>
                <c:pt idx="6">
                  <c:v>34.9</c:v>
                </c:pt>
                <c:pt idx="7">
                  <c:v>30.9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D9-44B0-B58D-AB34D1B5ED3B}"/>
            </c:ext>
          </c:extLst>
        </c:ser>
        <c:ser>
          <c:idx val="2"/>
          <c:order val="2"/>
          <c:tx>
            <c:strRef>
              <c:f>Working!$D$60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Working!$A$61:$A$68</c:f>
              <c:strCache>
                <c:ptCount val="8"/>
                <c:pt idx="0">
                  <c:v>Arts administration</c:v>
                </c:pt>
                <c:pt idx="1">
                  <c:v>Multi-arts festivals</c:v>
                </c:pt>
                <c:pt idx="2">
                  <c:v>Arts education</c:v>
                </c:pt>
                <c:pt idx="3">
                  <c:v>Cross-art form</c:v>
                </c:pt>
                <c:pt idx="4">
                  <c:v>Performing arts venues</c:v>
                </c:pt>
                <c:pt idx="5">
                  <c:v>Music </c:v>
                </c:pt>
                <c:pt idx="6">
                  <c:v>Libraries</c:v>
                </c:pt>
                <c:pt idx="7">
                  <c:v>Other museums &amp; cultural heritage</c:v>
                </c:pt>
              </c:strCache>
            </c:strRef>
          </c:cat>
          <c:val>
            <c:numRef>
              <c:f>Working!$D$61:$D$68</c:f>
              <c:numCache>
                <c:formatCode>#,##0.0</c:formatCode>
                <c:ptCount val="8"/>
                <c:pt idx="0">
                  <c:v>8.9</c:v>
                </c:pt>
                <c:pt idx="1">
                  <c:v>19.399999999999999</c:v>
                </c:pt>
                <c:pt idx="2">
                  <c:v>16.8</c:v>
                </c:pt>
                <c:pt idx="3">
                  <c:v>10.6</c:v>
                </c:pt>
                <c:pt idx="4">
                  <c:v>33.700000000000003</c:v>
                </c:pt>
                <c:pt idx="5">
                  <c:v>12.1</c:v>
                </c:pt>
                <c:pt idx="6">
                  <c:v>35.9</c:v>
                </c:pt>
                <c:pt idx="7">
                  <c:v>29.8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D9-44B0-B58D-AB34D1B5E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989175784"/>
        <c:axId val="989176144"/>
      </c:barChart>
      <c:catAx>
        <c:axId val="989175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9176144"/>
        <c:crosses val="autoZero"/>
        <c:auto val="1"/>
        <c:lblAlgn val="ctr"/>
        <c:lblOffset val="100"/>
        <c:noMultiLvlLbl val="0"/>
      </c:catAx>
      <c:valAx>
        <c:axId val="989176144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>
                    <a:solidFill>
                      <a:sysClr val="windowText" lastClr="000000"/>
                    </a:solidFill>
                  </a:rPr>
                  <a:t>$m</a:t>
                </a:r>
              </a:p>
            </c:rich>
          </c:tx>
          <c:layout>
            <c:manualLayout>
              <c:xMode val="edge"/>
              <c:yMode val="edge"/>
              <c:x val="0.64433298873269806"/>
              <c:y val="0.944499828825744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917578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6681334787605024"/>
          <c:y val="7.0382343218938312E-2"/>
          <c:w val="0.11288053373595268"/>
          <c:h val="0.149339820143579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anchor="ctr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77D1F5"/>
      </a:accent1>
      <a:accent2>
        <a:srgbClr val="4EB2B5"/>
      </a:accent2>
      <a:accent3>
        <a:srgbClr val="959ACD"/>
      </a:accent3>
      <a:accent4>
        <a:srgbClr val="1177AD"/>
      </a:accent4>
      <a:accent5>
        <a:srgbClr val="BADB98"/>
      </a:accent5>
      <a:accent6>
        <a:srgbClr val="626E81"/>
      </a:accent6>
      <a:hlink>
        <a:srgbClr val="155589"/>
      </a:hlink>
      <a:folHlink>
        <a:srgbClr val="155589"/>
      </a:folHlink>
    </a:clrScheme>
    <a:fontScheme name="DoC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308B0169B604BF78408B4824B579E8E" version="1.0.0">
  <systemFields>
    <field name="Objective-Id">
      <value order="0">B2221087</value>
    </field>
    <field name="Objective-Title">
      <value order="0">sa--cultural-funding-by-government--2023_2024</value>
    </field>
    <field name="Objective-Description">
      <value order="0"/>
    </field>
    <field name="Objective-CreationStamp">
      <value order="0">2025-06-20T03:04:15Z</value>
    </field>
    <field name="Objective-IsApproved">
      <value order="0">false</value>
    </field>
    <field name="Objective-IsPublished">
      <value order="0">true</value>
    </field>
    <field name="Objective-DatePublished">
      <value order="0">2025-06-20T04:06:23Z</value>
    </field>
    <field name="Objective-ModificationStamp">
      <value order="0">2025-06-20T04:06:23Z</value>
    </field>
    <field name="Objective-Owner">
      <value order="0">Hurford, Alexandra</value>
    </field>
    <field name="Objective-Path">
      <value order="0">Objective Global Folder:DIVISIONAL FOLDER STRUCTURE:CHIEF OPERATING OFFICER:CREATESA:Intergovernmental Relations:Cultural Ministers Meetings:Cultural and Creative Statistics Working Group (CCSWG):Cultural Funding by Government 2023-24 Survey</value>
    </field>
    <field name="Objective-Parent">
      <value order="0">Cultural Funding by Government 2023-24 Survey</value>
    </field>
    <field name="Objective-State">
      <value order="0">Published</value>
    </field>
    <field name="Objective-VersionId">
      <value order="0">vB3399042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DPC24/1172</value>
    </field>
    <field name="Objective-Classification">
      <value order="0"/>
    </field>
    <field name="Objective-Caveats">
      <value order="0"/>
    </field>
  </systemFields>
  <catalogues>
    <catalogue name="DPC Document Type Catalogue" type="type" ori="id:cB64">
      <field name="Objective-Document Type">
        <value order="0">Departmental Agency Document</value>
      </field>
      <field name="Objective-Classification (Confidentiality)">
        <value order="0">OFFICIAL</value>
      </field>
      <field name="Objective-Caveat (IAC)">
        <value order="0">Not Applicable</value>
      </field>
      <field name="Objective-Exclusive For (Name)">
        <value order="0"/>
      </field>
      <field name="Objective-Information Management Markers">
        <value order="0">Not Applicable</value>
      </field>
      <field name="Objective-Connect Creator">
        <value order="0"/>
      </field>
      <field name="Objective-Division/Unit">
        <value order="0">Not Applicable</value>
      </field>
      <field name="Objective-Workgroup">
        <value order="0">NOT APPLICABLE</value>
      </field>
      <field name="Objective-See">
        <value order="0"/>
      </field>
      <field name="Objective-Open">
        <value order="0"/>
      </field>
      <field name="Objective-Edit">
        <value order="0"/>
      </field>
      <field name="Objective-Add">
        <value order="0"/>
      </field>
      <field name="Objective-No Access">
        <value order="0"/>
      </field>
      <field name="Objective-Privileges Last Updat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308B0169B604BF78408B4824B579E8E"/>
  </ds:schemaRefs>
</ds:datastoreItem>
</file>

<file path=customXml/itemProps2.xml><?xml version="1.0" encoding="utf-8"?>
<ds:datastoreItem xmlns:ds="http://schemas.openxmlformats.org/officeDocument/2006/customXml" ds:itemID="{CF89B3C9-026C-40F0-BDF5-DDCA7C6AE1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2025-09-09T05:18:00Z</dcterms:created>
  <dcterms:modified xsi:type="dcterms:W3CDTF">2025-09-10T01:28:00Z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2025-06-27T04:24:54Z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193f451c-665a-4877-9029-d96303d46773</vt:lpwstr>
  </property>
  <property fmtid="{D5CDD505-2E9C-101B-9397-08002B2CF9AE}" pid="8" name="MSIP_Label_c8e5a7ee-c283-40b0-98eb-fa437df4c031_ContentBits">
    <vt:lpwstr>0</vt:lpwstr>
  </property>
  <property fmtid="{D5CDD505-2E9C-101B-9397-08002B2CF9AE}" pid="9" name="MSIP_Label_c8e5a7ee-c283-40b0-98eb-fa437df4c031_Tag">
    <vt:lpwstr>10, 0, 1, 1</vt:lpwstr>
  </property>
</Properties>
</file>