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38FE85B2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81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5D0803E8" w:rsidR="002117E6" w:rsidRDefault="001D64AC" w:rsidP="00477982">
      <w:pPr>
        <w:pStyle w:val="Heading1"/>
      </w:pPr>
      <w:r>
        <w:t xml:space="preserve">Cultural Funding by </w:t>
      </w:r>
      <w:r w:rsidRPr="00B04088">
        <w:t>Government—</w:t>
      </w:r>
      <w:r w:rsidR="0070126E" w:rsidRPr="00B04088">
        <w:t>202</w:t>
      </w:r>
      <w:r w:rsidR="00CD10B7">
        <w:t>3</w:t>
      </w:r>
      <w:r w:rsidR="0070126E" w:rsidRPr="00B04088">
        <w:t>–2</w:t>
      </w:r>
      <w:r w:rsidR="00CD10B7">
        <w:t>4</w:t>
      </w:r>
    </w:p>
    <w:p w14:paraId="6878B70D" w14:textId="77777777" w:rsidR="00B06463" w:rsidRDefault="00B06463" w:rsidP="00B06463">
      <w:pPr>
        <w:pStyle w:val="Heading2"/>
      </w:pPr>
      <w:r>
        <w:rPr>
          <w:szCs w:val="36"/>
        </w:rPr>
        <w:t xml:space="preserve">State and territory </w:t>
      </w:r>
      <w:r w:rsidRPr="00527D9C">
        <w:rPr>
          <w:szCs w:val="36"/>
        </w:rPr>
        <w:t>government</w:t>
      </w:r>
    </w:p>
    <w:p w14:paraId="7A13653B" w14:textId="5F02ED7A" w:rsidR="00B06463" w:rsidRPr="00E61D8C" w:rsidRDefault="00B06463" w:rsidP="00B06463">
      <w:r w:rsidRPr="00E61D8C">
        <w:t>In 202</w:t>
      </w:r>
      <w:r w:rsidR="00CD10B7">
        <w:t>3</w:t>
      </w:r>
      <w:r w:rsidRPr="00E61D8C">
        <w:t>–</w:t>
      </w:r>
      <w:r w:rsidRPr="00252B87">
        <w:t>2</w:t>
      </w:r>
      <w:r w:rsidR="00CD10B7" w:rsidRPr="00252B87">
        <w:t>4</w:t>
      </w:r>
      <w:r w:rsidRPr="00252B87">
        <w:t xml:space="preserve"> the estimate of expenditure on cultural activities, funded by state and territory governments, was </w:t>
      </w:r>
      <w:r w:rsidRPr="00252B87">
        <w:rPr>
          <w:b/>
        </w:rPr>
        <w:t>$</w:t>
      </w:r>
      <w:r w:rsidR="00252B87" w:rsidRPr="00252B87">
        <w:rPr>
          <w:b/>
        </w:rPr>
        <w:t>3,336.5</w:t>
      </w:r>
      <w:r w:rsidR="00741BB6" w:rsidRPr="00252B87">
        <w:rPr>
          <w:b/>
        </w:rPr>
        <w:t>m</w:t>
      </w:r>
      <w:r w:rsidRPr="00252B87">
        <w:rPr>
          <w:b/>
        </w:rPr>
        <w:t xml:space="preserve">. </w:t>
      </w:r>
      <w:r w:rsidRPr="00252B87">
        <w:t xml:space="preserve">This represented a rise of </w:t>
      </w:r>
      <w:r w:rsidR="00252B87" w:rsidRPr="00252B87">
        <w:t>less than 1</w:t>
      </w:r>
      <w:r w:rsidRPr="00252B87">
        <w:t>% (or $</w:t>
      </w:r>
      <w:r w:rsidR="00252B87" w:rsidRPr="00252B87">
        <w:t>10.9</w:t>
      </w:r>
      <w:r w:rsidRPr="00252B87">
        <w:t>m)</w:t>
      </w:r>
      <w:r w:rsidR="00CD10B7" w:rsidRPr="00252B87">
        <w:t xml:space="preserve"> from 2021–22</w:t>
      </w:r>
      <w:r w:rsidRPr="00252B87">
        <w:t>.</w:t>
      </w:r>
    </w:p>
    <w:p w14:paraId="551F94C6" w14:textId="58A329FD" w:rsidR="00B06463" w:rsidRDefault="00B06463" w:rsidP="00B06463">
      <w:pPr>
        <w:pStyle w:val="Tablefigureheading"/>
      </w:pPr>
      <w:r>
        <w:t xml:space="preserve">Table 1. State and territory </w:t>
      </w:r>
      <w:r w:rsidRPr="00E61D8C">
        <w:t>government cultural expenditure, 20</w:t>
      </w:r>
      <w:r w:rsidR="00CD10B7">
        <w:t>20</w:t>
      </w:r>
      <w:r w:rsidRPr="00E61D8C">
        <w:t>–</w:t>
      </w:r>
      <w:r w:rsidR="00D97EBF" w:rsidRPr="00E61D8C">
        <w:t>2</w:t>
      </w:r>
      <w:r w:rsidR="00CD10B7">
        <w:t>1</w:t>
      </w:r>
      <w:r w:rsidRPr="00E61D8C">
        <w:t xml:space="preserve"> to 202</w:t>
      </w:r>
      <w:r w:rsidR="00CD10B7">
        <w:t>3</w:t>
      </w:r>
      <w:r w:rsidRPr="00E61D8C">
        <w:t>–2</w:t>
      </w:r>
      <w:r w:rsidR="00CD10B7">
        <w:t>4</w:t>
      </w:r>
      <w:r w:rsidR="00394AB9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State and territory government cultural expenditure, 2015–16 to 2017–18."/>
      </w:tblPr>
      <w:tblGrid>
        <w:gridCol w:w="1981"/>
        <w:gridCol w:w="1981"/>
        <w:gridCol w:w="2583"/>
      </w:tblGrid>
      <w:tr w:rsidR="00CD10B7" w:rsidRPr="00D54FEF" w14:paraId="32010AC1" w14:textId="77777777" w:rsidTr="00252B87">
        <w:trPr>
          <w:cantSplit/>
          <w:trHeight w:val="300"/>
          <w:tblHeader/>
        </w:trPr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79B5203" w14:textId="69361E37" w:rsidR="00CD10B7" w:rsidRPr="00E61D8C" w:rsidRDefault="00CD10B7" w:rsidP="00CD10B7">
            <w:pPr>
              <w:pStyle w:val="Tablerowcolumnheadingcentred"/>
            </w:pPr>
            <w:r w:rsidRPr="00E61D8C">
              <w:t>2020–21</w:t>
            </w:r>
            <w:r w:rsidRPr="00E61D8C">
              <w:rPr>
                <w:rStyle w:val="FootnoteReference"/>
              </w:rPr>
              <w:footnoteReference w:id="2"/>
            </w:r>
          </w:p>
        </w:tc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5CA60E03" w14:textId="4DB21061" w:rsidR="00CD10B7" w:rsidRPr="00E61D8C" w:rsidRDefault="00CD10B7" w:rsidP="00CD10B7">
            <w:pPr>
              <w:pStyle w:val="Tablerowcolumnheadingcentred"/>
            </w:pPr>
            <w:r w:rsidRPr="00E61D8C">
              <w:t>2021–22</w:t>
            </w:r>
            <w:r w:rsidRPr="00E61D8C">
              <w:rPr>
                <w:rStyle w:val="FootnoteReference"/>
              </w:rPr>
              <w:footnoteReference w:id="3"/>
            </w:r>
          </w:p>
        </w:tc>
        <w:tc>
          <w:tcPr>
            <w:tcW w:w="25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9746985" w14:textId="194C126D" w:rsidR="00CD10B7" w:rsidRPr="00E61D8C" w:rsidRDefault="00CD10B7" w:rsidP="00CD10B7">
            <w:pPr>
              <w:pStyle w:val="Tablerowcolumnheadingcentred"/>
            </w:pPr>
            <w:r w:rsidRPr="00E61D8C">
              <w:t>202</w:t>
            </w:r>
            <w:r>
              <w:t>3</w:t>
            </w:r>
            <w:r w:rsidRPr="00E61D8C">
              <w:t>–2</w:t>
            </w:r>
            <w:r>
              <w:t>4</w:t>
            </w:r>
          </w:p>
        </w:tc>
      </w:tr>
      <w:tr w:rsidR="00CD10B7" w:rsidRPr="00ED41F7" w14:paraId="05AD531C" w14:textId="77777777" w:rsidTr="00A75DB8">
        <w:trPr>
          <w:cantSplit/>
          <w:trHeight w:val="197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06561E" w14:textId="46A41624" w:rsidR="00CD10B7" w:rsidRPr="00E61D8C" w:rsidRDefault="00CD10B7" w:rsidP="00CD10B7">
            <w:pPr>
              <w:pStyle w:val="Tabletextcentred"/>
            </w:pPr>
            <w:r w:rsidRPr="00E61D8C">
              <w:t>$2,955.2m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22AC18" w14:textId="65184604" w:rsidR="00CD10B7" w:rsidRPr="00E61D8C" w:rsidRDefault="00CD10B7" w:rsidP="00CD10B7">
            <w:pPr>
              <w:pStyle w:val="Tabletextcentred"/>
              <w:rPr>
                <w:highlight w:val="yellow"/>
              </w:rPr>
            </w:pPr>
            <w:r w:rsidRPr="00E61D8C">
              <w:t>$3,325.6m ↑13%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30DD79" w14:textId="08021B75" w:rsidR="00CD10B7" w:rsidRPr="00E61D8C" w:rsidRDefault="00CD10B7" w:rsidP="00CD10B7">
            <w:pPr>
              <w:pStyle w:val="Tabletextcentred"/>
            </w:pPr>
            <w:r w:rsidRPr="00252B87">
              <w:t>$</w:t>
            </w:r>
            <w:r w:rsidR="003E6F2D">
              <w:t>3,336.5</w:t>
            </w:r>
            <w:r w:rsidRPr="00252B87">
              <w:t>m ↑</w:t>
            </w:r>
            <w:r w:rsidR="00252B87" w:rsidRPr="00252B87">
              <w:t>&lt;1</w:t>
            </w:r>
            <w:r w:rsidRPr="00252B87">
              <w:t>%</w:t>
            </w:r>
          </w:p>
        </w:tc>
      </w:tr>
    </w:tbl>
    <w:p w14:paraId="655A1F3A" w14:textId="4B5B5321" w:rsidR="00B06463" w:rsidRPr="00ED41F7" w:rsidRDefault="00B06463" w:rsidP="00B06463">
      <w:pPr>
        <w:pStyle w:val="bullets-arrows"/>
        <w:numPr>
          <w:ilvl w:val="0"/>
          <w:numId w:val="13"/>
        </w:numPr>
      </w:pPr>
      <w:r w:rsidRPr="00ED41F7">
        <w:t xml:space="preserve">The estimate of per person cultural funding </w:t>
      </w:r>
      <w:r w:rsidRPr="00252B87">
        <w:t>was $</w:t>
      </w:r>
      <w:r w:rsidR="00252B87" w:rsidRPr="00252B87">
        <w:t>123.81</w:t>
      </w:r>
      <w:r w:rsidRPr="00252B87">
        <w:t>.</w:t>
      </w:r>
    </w:p>
    <w:p w14:paraId="4D6CEDE7" w14:textId="5A948DA1" w:rsidR="00B06463" w:rsidRPr="00E61D8C" w:rsidRDefault="00B06463" w:rsidP="00B06463">
      <w:pPr>
        <w:pStyle w:val="Tablefigureheading"/>
      </w:pPr>
      <w:r w:rsidRPr="00E61D8C">
        <w:t>Figure 1. State and territory governments total cultural expenditure</w:t>
      </w:r>
      <w:r w:rsidR="00E61D8C" w:rsidRPr="00E61D8C">
        <w:t xml:space="preserve"> (recurrent and </w:t>
      </w:r>
      <w:proofErr w:type="gramStart"/>
      <w:r w:rsidR="00E61D8C" w:rsidRPr="00E61D8C">
        <w:t>capital)</w:t>
      </w:r>
      <w:r w:rsidRPr="00E61D8C">
        <w:t>(</w:t>
      </w:r>
      <w:proofErr w:type="gramEnd"/>
      <w:r w:rsidRPr="00E61D8C">
        <w:t>a)</w:t>
      </w:r>
    </w:p>
    <w:p w14:paraId="2F641BF3" w14:textId="3F23EF21" w:rsidR="00741BB6" w:rsidRPr="00741BB6" w:rsidRDefault="00102934" w:rsidP="00741BB6">
      <w:pPr>
        <w:rPr>
          <w:lang w:eastAsia="en-US"/>
        </w:rPr>
      </w:pPr>
      <w:r>
        <w:rPr>
          <w:noProof/>
        </w:rPr>
        <w:drawing>
          <wp:inline distT="0" distB="0" distL="0" distR="0" wp14:anchorId="60999C5A" wp14:editId="113A90D5">
            <wp:extent cx="5248275" cy="2514600"/>
            <wp:effectExtent l="0" t="0" r="0" b="0"/>
            <wp:docPr id="1400335417" name="Chart 1" descr="Figure 1. State and territory governments total cultural expenditure (recurrent and capital).&#10;A column graph compares total cultural expenditure across state and territory governments between the financial years of 2020-21, 2021-22 and 2023-24.&#10;Care should be taken when comparing expenditure between states and territories due to different administrative arrangements.&#10;2020-21: New South Wales $906.4m, Victoria $771.9m, Queensland $506.7m, South Australia $233.3m, Western Australia $294.9m, Tasmania $90.4m, Northern Territory $77.2m, Australian Capital Territory $74.4m.&#10;2021-22: New South Wales $1,159.6m, Victoria $745.0m, Queensland $518.1m, South Australia $296.0m, Western Australia $350.1m, Tasmania $94.9m, Northern Territory $79.9m, Australian Capital Territory $82.1m.&#10;2023-24: New South Wales $1,010.5m, Victoria $726.8m, Queensland $582.1m, South Australia $373.7m, Western Australia $376.0m, Tasmania $88.4m, Northern Territory $80.4m, Australian Capital Territory $98.5m.">
              <a:extLst xmlns:a="http://schemas.openxmlformats.org/drawingml/2006/main">
                <a:ext uri="{FF2B5EF4-FFF2-40B4-BE49-F238E27FC236}">
                  <a16:creationId xmlns:a16="http://schemas.microsoft.com/office/drawing/2014/main" id="{111D53D1-2EB2-410C-9F32-74DE3BE259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800FBB" w14:textId="32780D70" w:rsidR="00B06463" w:rsidRDefault="00B06463" w:rsidP="00776F9D">
      <w:pPr>
        <w:pStyle w:val="Sourcenote"/>
        <w:numPr>
          <w:ilvl w:val="0"/>
          <w:numId w:val="11"/>
        </w:numPr>
        <w:spacing w:after="0"/>
        <w:rPr>
          <w:sz w:val="18"/>
          <w:szCs w:val="18"/>
        </w:rPr>
      </w:pPr>
      <w:bookmarkStart w:id="0" w:name="_Hlk6925977"/>
      <w:r w:rsidRPr="00AC6FCD">
        <w:rPr>
          <w:sz w:val="18"/>
          <w:szCs w:val="18"/>
        </w:rPr>
        <w:t>Care should be taken when comparing expenditure between states and territories due to different</w:t>
      </w:r>
      <w:r w:rsidR="00E61D8C">
        <w:rPr>
          <w:sz w:val="18"/>
          <w:szCs w:val="18"/>
        </w:rPr>
        <w:t xml:space="preserve"> </w:t>
      </w:r>
      <w:r w:rsidRPr="00E61D8C">
        <w:rPr>
          <w:sz w:val="18"/>
          <w:szCs w:val="18"/>
        </w:rPr>
        <w:t>administrative arrangements.</w:t>
      </w:r>
    </w:p>
    <w:bookmarkEnd w:id="0"/>
    <w:p w14:paraId="67738179" w14:textId="77777777" w:rsidR="00643FD1" w:rsidRDefault="00643FD1" w:rsidP="00B06463">
      <w:pPr>
        <w:pStyle w:val="Sourcenote"/>
        <w:rPr>
          <w:sz w:val="22"/>
          <w:szCs w:val="22"/>
        </w:rPr>
      </w:pPr>
    </w:p>
    <w:p w14:paraId="34E8637C" w14:textId="4E928E8C" w:rsidR="00B06463" w:rsidRPr="00E61D8C" w:rsidRDefault="00B06463" w:rsidP="00B06463">
      <w:pPr>
        <w:pStyle w:val="Sourcenote"/>
        <w:rPr>
          <w:sz w:val="22"/>
          <w:szCs w:val="22"/>
        </w:rPr>
      </w:pPr>
      <w:r w:rsidRPr="00A715DF">
        <w:rPr>
          <w:sz w:val="22"/>
          <w:szCs w:val="22"/>
        </w:rPr>
        <w:t xml:space="preserve">The highest percentage increase in funding was for </w:t>
      </w:r>
      <w:r w:rsidR="00A715DF" w:rsidRPr="00A715DF">
        <w:rPr>
          <w:sz w:val="22"/>
          <w:szCs w:val="22"/>
        </w:rPr>
        <w:t>South Australia</w:t>
      </w:r>
      <w:r w:rsidRPr="00A715DF">
        <w:rPr>
          <w:sz w:val="22"/>
          <w:szCs w:val="22"/>
        </w:rPr>
        <w:t xml:space="preserve"> (</w:t>
      </w:r>
      <w:r w:rsidR="00A715DF" w:rsidRPr="00A715DF">
        <w:rPr>
          <w:sz w:val="22"/>
          <w:szCs w:val="22"/>
        </w:rPr>
        <w:t>26</w:t>
      </w:r>
      <w:r w:rsidRPr="00A715DF">
        <w:rPr>
          <w:sz w:val="22"/>
          <w:szCs w:val="22"/>
        </w:rPr>
        <w:t xml:space="preserve">%), followed by </w:t>
      </w:r>
      <w:r w:rsidR="00A715DF" w:rsidRPr="00A715DF">
        <w:rPr>
          <w:sz w:val="22"/>
          <w:szCs w:val="22"/>
        </w:rPr>
        <w:t>Australian Capital Territory</w:t>
      </w:r>
      <w:r w:rsidR="00741BB6" w:rsidRPr="00A715DF">
        <w:rPr>
          <w:sz w:val="22"/>
          <w:szCs w:val="22"/>
        </w:rPr>
        <w:t xml:space="preserve"> (</w:t>
      </w:r>
      <w:r w:rsidR="00A715DF" w:rsidRPr="00A715DF">
        <w:rPr>
          <w:sz w:val="22"/>
          <w:szCs w:val="22"/>
        </w:rPr>
        <w:t>20</w:t>
      </w:r>
      <w:r w:rsidR="00741BB6" w:rsidRPr="00A715DF">
        <w:rPr>
          <w:sz w:val="22"/>
          <w:szCs w:val="22"/>
        </w:rPr>
        <w:t xml:space="preserve">%) and </w:t>
      </w:r>
      <w:r w:rsidR="00A715DF" w:rsidRPr="00A715DF">
        <w:rPr>
          <w:sz w:val="22"/>
          <w:szCs w:val="22"/>
        </w:rPr>
        <w:t>Queensland</w:t>
      </w:r>
      <w:r w:rsidR="00741BB6" w:rsidRPr="00A715DF">
        <w:rPr>
          <w:sz w:val="22"/>
          <w:szCs w:val="22"/>
        </w:rPr>
        <w:t xml:space="preserve"> (</w:t>
      </w:r>
      <w:r w:rsidR="00A715DF" w:rsidRPr="00A715DF">
        <w:rPr>
          <w:sz w:val="22"/>
          <w:szCs w:val="22"/>
        </w:rPr>
        <w:t>12</w:t>
      </w:r>
      <w:r w:rsidR="00741BB6" w:rsidRPr="00A715DF">
        <w:rPr>
          <w:sz w:val="22"/>
          <w:szCs w:val="22"/>
        </w:rPr>
        <w:t>%).</w:t>
      </w:r>
      <w:r w:rsidRPr="00E61D8C">
        <w:rPr>
          <w:sz w:val="22"/>
          <w:szCs w:val="22"/>
        </w:rPr>
        <w:t xml:space="preserve"> </w:t>
      </w:r>
    </w:p>
    <w:p w14:paraId="64CC9752" w14:textId="77777777" w:rsidR="00124FD4" w:rsidRDefault="00124FD4">
      <w:pPr>
        <w:spacing w:after="160" w:line="259" w:lineRule="auto"/>
        <w:rPr>
          <w:rFonts w:asciiTheme="majorHAnsi" w:eastAsiaTheme="majorEastAsia" w:hAnsiTheme="majorHAnsi" w:cstheme="majorBidi"/>
          <w:b/>
          <w:color w:val="554B87"/>
          <w:sz w:val="30"/>
          <w:szCs w:val="24"/>
          <w:lang w:eastAsia="en-US"/>
        </w:rPr>
      </w:pPr>
      <w:r>
        <w:br w:type="page"/>
      </w:r>
    </w:p>
    <w:p w14:paraId="523D4AE9" w14:textId="103538B1" w:rsidR="00B06463" w:rsidRPr="00F0060F" w:rsidRDefault="00B06463" w:rsidP="00B06463">
      <w:pPr>
        <w:pStyle w:val="Heading3"/>
        <w:rPr>
          <w:color w:val="5860B0" w:themeColor="accent3" w:themeShade="BF"/>
        </w:rPr>
      </w:pPr>
      <w:r>
        <w:lastRenderedPageBreak/>
        <w:t>Heritage</w:t>
      </w:r>
    </w:p>
    <w:p w14:paraId="146FB5B2" w14:textId="6F047848" w:rsidR="00B06463" w:rsidRPr="00E61D8C" w:rsidRDefault="00B06463" w:rsidP="00B06463">
      <w:r w:rsidRPr="00A715DF">
        <w:t xml:space="preserve">Funds </w:t>
      </w:r>
      <w:r w:rsidR="008C2939" w:rsidRPr="00A715DF">
        <w:t>for</w:t>
      </w:r>
      <w:r w:rsidRPr="00A715DF">
        <w:t xml:space="preserve"> </w:t>
      </w:r>
      <w:r w:rsidR="008C2939" w:rsidRPr="00A715DF">
        <w:t xml:space="preserve">Total </w:t>
      </w:r>
      <w:r w:rsidRPr="00A715DF">
        <w:rPr>
          <w:i/>
        </w:rPr>
        <w:t>Heritage</w:t>
      </w:r>
      <w:r w:rsidRPr="00A715DF">
        <w:t xml:space="preserve"> activities</w:t>
      </w:r>
      <w:r w:rsidR="008C2939" w:rsidRPr="00A715DF">
        <w:t xml:space="preserve"> (recurrent and capital) </w:t>
      </w:r>
      <w:r w:rsidR="00A555E5" w:rsidRPr="00A715DF">
        <w:t>in</w:t>
      </w:r>
      <w:r w:rsidRPr="00A715DF">
        <w:t xml:space="preserve">creased </w:t>
      </w:r>
      <w:r w:rsidR="00A715DF" w:rsidRPr="00A715DF">
        <w:t>4</w:t>
      </w:r>
      <w:r w:rsidRPr="00A715DF">
        <w:t>% (or $</w:t>
      </w:r>
      <w:r w:rsidR="00A715DF" w:rsidRPr="00A715DF">
        <w:t>58.5</w:t>
      </w:r>
      <w:r w:rsidRPr="00A715DF">
        <w:t>m) to $</w:t>
      </w:r>
      <w:r w:rsidR="00A715DF" w:rsidRPr="00A715DF">
        <w:t>1,654.2</w:t>
      </w:r>
      <w:r w:rsidRPr="00A715DF">
        <w:t>m.</w:t>
      </w:r>
    </w:p>
    <w:p w14:paraId="1C9A3A78" w14:textId="3796FF55" w:rsidR="00B06463" w:rsidRPr="00E61D8C" w:rsidRDefault="00B16766" w:rsidP="00B06463">
      <w:r w:rsidRPr="00A715DF">
        <w:t xml:space="preserve">This </w:t>
      </w:r>
      <w:r w:rsidR="00A555E5" w:rsidRPr="00A715DF">
        <w:t>in</w:t>
      </w:r>
      <w:r w:rsidRPr="00A715DF">
        <w:t xml:space="preserve">crease was driven by </w:t>
      </w:r>
      <w:r w:rsidR="00A555E5" w:rsidRPr="00A715DF">
        <w:t>increased e</w:t>
      </w:r>
      <w:r w:rsidRPr="00A715DF">
        <w:t>xpenditure on</w:t>
      </w:r>
      <w:r w:rsidR="00B06463" w:rsidRPr="00A715DF">
        <w:t xml:space="preserve"> </w:t>
      </w:r>
      <w:r w:rsidR="00B06463" w:rsidRPr="00A715DF">
        <w:rPr>
          <w:i/>
        </w:rPr>
        <w:t xml:space="preserve">Other museums and cultural heritage </w:t>
      </w:r>
      <w:r w:rsidR="00B06463" w:rsidRPr="00A715DF">
        <w:t>(</w:t>
      </w:r>
      <w:r w:rsidR="00A555E5" w:rsidRPr="00A715DF">
        <w:t>↑</w:t>
      </w:r>
      <w:r w:rsidR="00B06463" w:rsidRPr="00A715DF">
        <w:t>$</w:t>
      </w:r>
      <w:r w:rsidR="00A715DF" w:rsidRPr="00A715DF">
        <w:t>151.6</w:t>
      </w:r>
      <w:r w:rsidR="00B06463" w:rsidRPr="00A715DF">
        <w:t>m</w:t>
      </w:r>
      <w:r w:rsidR="00A555E5" w:rsidRPr="00A715DF">
        <w:t xml:space="preserve">) </w:t>
      </w:r>
      <w:r w:rsidR="00A715DF" w:rsidRPr="00A715DF">
        <w:t xml:space="preserve">but was offset by a decrease in </w:t>
      </w:r>
      <w:r w:rsidR="00A555E5" w:rsidRPr="00A715DF">
        <w:rPr>
          <w:i/>
          <w:iCs/>
        </w:rPr>
        <w:t>Art Museums</w:t>
      </w:r>
      <w:r w:rsidR="00A555E5" w:rsidRPr="00A715DF">
        <w:t xml:space="preserve"> (</w:t>
      </w:r>
      <w:r w:rsidR="00A715DF" w:rsidRPr="00A715DF">
        <w:rPr>
          <w:rFonts w:cstheme="minorHAnsi"/>
        </w:rPr>
        <w:t>↓</w:t>
      </w:r>
      <w:r w:rsidR="00A555E5" w:rsidRPr="00A715DF">
        <w:t>$</w:t>
      </w:r>
      <w:r w:rsidR="00A715DF" w:rsidRPr="00A715DF">
        <w:t>115.4</w:t>
      </w:r>
      <w:r w:rsidR="00A555E5" w:rsidRPr="00A715DF">
        <w:t xml:space="preserve">m). </w:t>
      </w:r>
      <w:r w:rsidR="00B06463" w:rsidRPr="00A715DF">
        <w:rPr>
          <w:i/>
        </w:rPr>
        <w:t>Libraries</w:t>
      </w:r>
      <w:r w:rsidR="00B06463" w:rsidRPr="00A715DF">
        <w:t xml:space="preserve"> and </w:t>
      </w:r>
      <w:r w:rsidR="00B06463" w:rsidRPr="00A715DF">
        <w:rPr>
          <w:i/>
        </w:rPr>
        <w:t xml:space="preserve">Archives </w:t>
      </w:r>
      <w:r w:rsidR="00A715DF" w:rsidRPr="00A715DF">
        <w:t>had smaller increases</w:t>
      </w:r>
      <w:r w:rsidR="00A555E5" w:rsidRPr="00A715DF">
        <w:t>, by $</w:t>
      </w:r>
      <w:r w:rsidR="00A715DF" w:rsidRPr="00A715DF">
        <w:t>9.0</w:t>
      </w:r>
      <w:r w:rsidR="00A555E5" w:rsidRPr="00A715DF">
        <w:t>m and $</w:t>
      </w:r>
      <w:r w:rsidR="00A715DF" w:rsidRPr="00A715DF">
        <w:t>13.2</w:t>
      </w:r>
      <w:r w:rsidR="00A555E5" w:rsidRPr="00A715DF">
        <w:t>m respectively.</w:t>
      </w:r>
    </w:p>
    <w:p w14:paraId="63C1C809" w14:textId="72334153" w:rsidR="00B06463" w:rsidRPr="00823A44" w:rsidRDefault="00B06463" w:rsidP="00B06463">
      <w:r w:rsidRPr="00A715DF">
        <w:t xml:space="preserve">The largest categories of </w:t>
      </w:r>
      <w:r w:rsidRPr="00A715DF">
        <w:rPr>
          <w:i/>
        </w:rPr>
        <w:t>Heritage</w:t>
      </w:r>
      <w:r w:rsidRPr="00A715DF">
        <w:t xml:space="preserve"> expenditure were </w:t>
      </w:r>
      <w:r w:rsidRPr="00A715DF">
        <w:rPr>
          <w:i/>
        </w:rPr>
        <w:t>Other museums and cultural heritage</w:t>
      </w:r>
      <w:r w:rsidRPr="00A715DF">
        <w:t xml:space="preserve"> with </w:t>
      </w:r>
      <w:bookmarkStart w:id="1" w:name="_GoBack"/>
      <w:bookmarkEnd w:id="1"/>
      <w:r w:rsidRPr="00A715DF">
        <w:t>$</w:t>
      </w:r>
      <w:r w:rsidR="00A715DF" w:rsidRPr="00A715DF">
        <w:t>780.8</w:t>
      </w:r>
      <w:r w:rsidRPr="00A715DF">
        <w:t xml:space="preserve">m, followed by </w:t>
      </w:r>
      <w:r w:rsidRPr="00A715DF">
        <w:rPr>
          <w:i/>
        </w:rPr>
        <w:t xml:space="preserve">Libraries </w:t>
      </w:r>
      <w:r w:rsidRPr="00A715DF">
        <w:t>with $</w:t>
      </w:r>
      <w:r w:rsidR="00A715DF" w:rsidRPr="00A715DF">
        <w:t>471.6</w:t>
      </w:r>
      <w:r w:rsidRPr="00A715DF">
        <w:t>m.</w:t>
      </w:r>
    </w:p>
    <w:p w14:paraId="1C23F530" w14:textId="51534F6F" w:rsidR="00B06463" w:rsidRPr="00E61D8C" w:rsidRDefault="00EB1B8F" w:rsidP="00B06463">
      <w:pPr>
        <w:pStyle w:val="bullets-arrows"/>
        <w:ind w:left="0" w:firstLine="0"/>
        <w:rPr>
          <w:iCs/>
        </w:rPr>
      </w:pPr>
      <w:r w:rsidRPr="00EB1B8F">
        <w:t>Over half</w:t>
      </w:r>
      <w:r w:rsidR="003512D3" w:rsidRPr="00EB1B8F">
        <w:t xml:space="preserve"> (</w:t>
      </w:r>
      <w:r w:rsidRPr="00EB1B8F">
        <w:t>54</w:t>
      </w:r>
      <w:r w:rsidR="003512D3" w:rsidRPr="00EB1B8F">
        <w:t>% or $</w:t>
      </w:r>
      <w:r w:rsidRPr="00EB1B8F">
        <w:t>418</w:t>
      </w:r>
      <w:r w:rsidR="00A13557" w:rsidRPr="00EB1B8F">
        <w:t>.</w:t>
      </w:r>
      <w:r w:rsidRPr="00EB1B8F">
        <w:t>2</w:t>
      </w:r>
      <w:r w:rsidR="003512D3" w:rsidRPr="00EB1B8F">
        <w:t xml:space="preserve">m) of total state and territory government </w:t>
      </w:r>
      <w:r w:rsidR="00A6123A" w:rsidRPr="00EB1B8F">
        <w:t xml:space="preserve">heritage </w:t>
      </w:r>
      <w:r w:rsidR="003512D3" w:rsidRPr="00EB1B8F">
        <w:t xml:space="preserve">expenditure for </w:t>
      </w:r>
      <w:r w:rsidR="003512D3" w:rsidRPr="00EB1B8F">
        <w:rPr>
          <w:i/>
        </w:rPr>
        <w:t xml:space="preserve">Other museums and cultural heritage </w:t>
      </w:r>
      <w:r w:rsidR="003512D3" w:rsidRPr="00EB1B8F">
        <w:rPr>
          <w:iCs/>
        </w:rPr>
        <w:t xml:space="preserve">was </w:t>
      </w:r>
      <w:r w:rsidR="00221EAF" w:rsidRPr="00EB1B8F">
        <w:rPr>
          <w:iCs/>
        </w:rPr>
        <w:t>attributed to</w:t>
      </w:r>
      <w:r w:rsidR="003512D3" w:rsidRPr="00EB1B8F">
        <w:rPr>
          <w:iCs/>
        </w:rPr>
        <w:t xml:space="preserve"> the </w:t>
      </w:r>
      <w:r w:rsidR="00B06463" w:rsidRPr="00EB1B8F">
        <w:t>New South Wales Government</w:t>
      </w:r>
      <w:r w:rsidR="003512D3" w:rsidRPr="00EB1B8F">
        <w:t xml:space="preserve">. </w:t>
      </w:r>
      <w:r w:rsidR="005A160C">
        <w:t xml:space="preserve">The </w:t>
      </w:r>
      <w:r w:rsidR="00B06463" w:rsidRPr="00EB1B8F">
        <w:t>Western Australian Government was the next highest contributor (</w:t>
      </w:r>
      <w:r w:rsidRPr="00EB1B8F">
        <w:t>14</w:t>
      </w:r>
      <w:r w:rsidR="003512D3" w:rsidRPr="00EB1B8F">
        <w:t xml:space="preserve">% or </w:t>
      </w:r>
      <w:r w:rsidR="00B06463" w:rsidRPr="00EB1B8F">
        <w:t>$1</w:t>
      </w:r>
      <w:r w:rsidRPr="00EB1B8F">
        <w:t>08</w:t>
      </w:r>
      <w:r w:rsidR="00A13557" w:rsidRPr="00EB1B8F">
        <w:t>.</w:t>
      </w:r>
      <w:r w:rsidRPr="00EB1B8F">
        <w:t>5</w:t>
      </w:r>
      <w:r w:rsidR="00B06463" w:rsidRPr="00EB1B8F">
        <w:t>m)</w:t>
      </w:r>
      <w:r w:rsidR="003512D3" w:rsidRPr="00EB1B8F">
        <w:t xml:space="preserve"> </w:t>
      </w:r>
      <w:r w:rsidR="00C63583">
        <w:t>to</w:t>
      </w:r>
      <w:r w:rsidR="003512D3" w:rsidRPr="00EB1B8F">
        <w:t xml:space="preserve"> this category.</w:t>
      </w:r>
    </w:p>
    <w:p w14:paraId="2A81E5D7" w14:textId="0F197C8F" w:rsidR="00B06463" w:rsidRPr="00E61D8C" w:rsidRDefault="00B06463" w:rsidP="00B06463">
      <w:pPr>
        <w:pStyle w:val="bullets-arrows"/>
        <w:ind w:left="0" w:firstLine="0"/>
      </w:pPr>
    </w:p>
    <w:p w14:paraId="545B33CF" w14:textId="3CC914C5" w:rsidR="00B06463" w:rsidRPr="00E61D8C" w:rsidRDefault="00A13557" w:rsidP="00B06463">
      <w:pPr>
        <w:pStyle w:val="bullets-arrows"/>
        <w:ind w:left="0" w:firstLine="0"/>
      </w:pPr>
      <w:r w:rsidRPr="00EB1B8F">
        <w:t>Over o</w:t>
      </w:r>
      <w:r w:rsidR="00210C69" w:rsidRPr="00EB1B8F">
        <w:t>ne quarter (2</w:t>
      </w:r>
      <w:r w:rsidR="00EB1B8F" w:rsidRPr="00EB1B8F">
        <w:t>7</w:t>
      </w:r>
      <w:r w:rsidR="00210C69" w:rsidRPr="00EB1B8F">
        <w:t>% or $</w:t>
      </w:r>
      <w:r w:rsidRPr="00EB1B8F">
        <w:t>12</w:t>
      </w:r>
      <w:r w:rsidR="00EB1B8F" w:rsidRPr="00EB1B8F">
        <w:t>5</w:t>
      </w:r>
      <w:r w:rsidRPr="00EB1B8F">
        <w:t>.</w:t>
      </w:r>
      <w:r w:rsidR="00EB1B8F" w:rsidRPr="00EB1B8F">
        <w:t>6</w:t>
      </w:r>
      <w:r w:rsidR="00210C69" w:rsidRPr="00EB1B8F">
        <w:t xml:space="preserve">m) of total state and territory government expenditure </w:t>
      </w:r>
      <w:r w:rsidR="00FD07CA" w:rsidRPr="00EB1B8F">
        <w:t>for</w:t>
      </w:r>
      <w:r w:rsidR="00210C69" w:rsidRPr="00EB1B8F">
        <w:t xml:space="preserve"> </w:t>
      </w:r>
      <w:r w:rsidR="00210C69" w:rsidRPr="00EB1B8F">
        <w:rPr>
          <w:i/>
        </w:rPr>
        <w:t>Libraries</w:t>
      </w:r>
      <w:r w:rsidR="00210C69" w:rsidRPr="00EB1B8F">
        <w:t xml:space="preserve"> was funded by t</w:t>
      </w:r>
      <w:r w:rsidR="00B06463" w:rsidRPr="00EB1B8F">
        <w:t>he New South Wales Government</w:t>
      </w:r>
      <w:r w:rsidR="00210C69" w:rsidRPr="00EB1B8F">
        <w:t>.</w:t>
      </w:r>
      <w:r w:rsidRPr="00EB1B8F">
        <w:t xml:space="preserve"> The Victorian Government was the next highest contributor (2</w:t>
      </w:r>
      <w:r w:rsidR="000B7001">
        <w:t>4</w:t>
      </w:r>
      <w:r w:rsidRPr="00EB1B8F">
        <w:t>% or $11</w:t>
      </w:r>
      <w:r w:rsidR="00EB1B8F" w:rsidRPr="00EB1B8F">
        <w:t>2</w:t>
      </w:r>
      <w:r w:rsidRPr="00EB1B8F">
        <w:t>.</w:t>
      </w:r>
      <w:r w:rsidR="00EB1B8F" w:rsidRPr="00EB1B8F">
        <w:t>8</w:t>
      </w:r>
      <w:r w:rsidRPr="00EB1B8F">
        <w:t xml:space="preserve">m) </w:t>
      </w:r>
      <w:r w:rsidR="00C63583">
        <w:t>to</w:t>
      </w:r>
      <w:r w:rsidRPr="00EB1B8F">
        <w:t xml:space="preserve"> this category.</w:t>
      </w:r>
    </w:p>
    <w:p w14:paraId="7FEFD82A" w14:textId="2162D433" w:rsidR="00E61D8C" w:rsidRPr="00E61D8C" w:rsidRDefault="00B06463" w:rsidP="00EB1B8F">
      <w:pPr>
        <w:pStyle w:val="Tablefigureheading"/>
      </w:pPr>
      <w:bookmarkStart w:id="2" w:name="_Toc524533023"/>
      <w:r w:rsidRPr="00303AC1">
        <w:t xml:space="preserve">Figure </w:t>
      </w:r>
      <w:r>
        <w:t>2</w:t>
      </w:r>
      <w:r w:rsidRPr="00303AC1">
        <w:t xml:space="preserve">. </w:t>
      </w:r>
      <w:r>
        <w:t xml:space="preserve"> S</w:t>
      </w:r>
      <w:r w:rsidRPr="00350E30">
        <w:t>tate and territory government</w:t>
      </w:r>
      <w:r>
        <w:t xml:space="preserve"> </w:t>
      </w:r>
      <w:r w:rsidRPr="00303AC1">
        <w:t>heritage expenditure</w:t>
      </w:r>
      <w:bookmarkEnd w:id="2"/>
      <w:r w:rsidR="00A13557">
        <w:t xml:space="preserve"> (recurrent and capital)</w:t>
      </w:r>
    </w:p>
    <w:p w14:paraId="30101AE7" w14:textId="30A9AE3B" w:rsidR="00E0324C" w:rsidRPr="00E0324C" w:rsidRDefault="00413FAA" w:rsidP="00E0324C">
      <w:pPr>
        <w:rPr>
          <w:lang w:eastAsia="en-US"/>
        </w:rPr>
      </w:pPr>
      <w:r>
        <w:rPr>
          <w:noProof/>
        </w:rPr>
        <w:drawing>
          <wp:inline distT="0" distB="0" distL="0" distR="0" wp14:anchorId="788DD3DD" wp14:editId="15DC3237">
            <wp:extent cx="4952994" cy="2533650"/>
            <wp:effectExtent l="0" t="0" r="635" b="0"/>
            <wp:docPr id="642148698" name="Chart 1" descr="Figure 2. State and territory Governments heritage expenditure (recurrent and capital).&#10;A column graph compares expenditure across the heritage categories of Art museums, Other museums &amp; cultural heritage, Libraries and Archives between the financial years of 2020-21, 2021-22 and 2023-24 for state and territory governments.&#10;2020-21: Art museums $414.0m, Other museums &amp; cultural heritage $505.5m, Libraries $451.6m, Archives $59.2m.&#10;2021-22: Art museums $444.5m, Other museums &amp; cultural heritage $629.1m, Libraries $462.6m, Archives $59.6m.&#10;2023-24: Art museums $329.1m, Other museums &amp; cultural heritage, $780.8m, Libraries $471.6m, Archives $72.8m.">
              <a:extLst xmlns:a="http://schemas.openxmlformats.org/drawingml/2006/main">
                <a:ext uri="{FF2B5EF4-FFF2-40B4-BE49-F238E27FC236}">
                  <a16:creationId xmlns:a16="http://schemas.microsoft.com/office/drawing/2014/main" id="{B64339EE-B91E-40AD-BAC6-56476E97DA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81515E" w14:textId="77777777" w:rsidR="00B06463" w:rsidRPr="00586CC5" w:rsidRDefault="00B06463" w:rsidP="00B06463">
      <w:pPr>
        <w:pStyle w:val="Heading3"/>
        <w:rPr>
          <w:b w:val="0"/>
          <w:bCs/>
          <w:color w:val="FF0000"/>
          <w:sz w:val="18"/>
          <w:szCs w:val="18"/>
        </w:rPr>
      </w:pPr>
      <w:bookmarkStart w:id="3" w:name="_Toc521318948"/>
      <w:bookmarkStart w:id="4" w:name="_Toc521427134"/>
      <w:bookmarkStart w:id="5" w:name="_Toc524532895"/>
      <w:r w:rsidRPr="00350E30">
        <w:t>Arts</w:t>
      </w:r>
      <w:bookmarkEnd w:id="3"/>
      <w:bookmarkEnd w:id="4"/>
      <w:bookmarkEnd w:id="5"/>
      <w:r>
        <w:t xml:space="preserve"> </w:t>
      </w:r>
    </w:p>
    <w:p w14:paraId="2EE54BF2" w14:textId="304453F3" w:rsidR="008C2939" w:rsidRPr="00E61D8C" w:rsidRDefault="00B06463" w:rsidP="00B06463">
      <w:r w:rsidRPr="00E61D8C">
        <w:t xml:space="preserve">Funds for </w:t>
      </w:r>
      <w:r w:rsidR="008C2939" w:rsidRPr="00E61D8C">
        <w:t xml:space="preserve">Total </w:t>
      </w:r>
      <w:r w:rsidRPr="00E61D8C">
        <w:rPr>
          <w:i/>
        </w:rPr>
        <w:t>Arts</w:t>
      </w:r>
      <w:r w:rsidRPr="00E61D8C">
        <w:t xml:space="preserve"> activities</w:t>
      </w:r>
      <w:r w:rsidR="008C2939" w:rsidRPr="00E61D8C">
        <w:t xml:space="preserve"> (recurrent and capital)</w:t>
      </w:r>
      <w:r w:rsidRPr="00E61D8C">
        <w:t xml:space="preserve"> </w:t>
      </w:r>
      <w:r w:rsidR="00BB0738">
        <w:t>dropped</w:t>
      </w:r>
      <w:r w:rsidRPr="00E61D8C">
        <w:t xml:space="preserve"> </w:t>
      </w:r>
      <w:r w:rsidR="00C63583">
        <w:t>1</w:t>
      </w:r>
      <w:r w:rsidRPr="00E61D8C">
        <w:t xml:space="preserve">% (or </w:t>
      </w:r>
      <w:r w:rsidR="00B9434E" w:rsidRPr="00E61D8C">
        <w:t>$</w:t>
      </w:r>
      <w:r w:rsidR="00BB0738">
        <w:t>25.5</w:t>
      </w:r>
      <w:r w:rsidR="00B9434E" w:rsidRPr="00E61D8C">
        <w:t>m</w:t>
      </w:r>
      <w:r w:rsidRPr="00E61D8C">
        <w:t>) to $</w:t>
      </w:r>
      <w:r w:rsidR="00BB0738">
        <w:t>1,682.3</w:t>
      </w:r>
      <w:r w:rsidRPr="00E61D8C">
        <w:t xml:space="preserve">m. </w:t>
      </w:r>
    </w:p>
    <w:p w14:paraId="031B63BC" w14:textId="78D63561" w:rsidR="00B06463" w:rsidRPr="00E61D8C" w:rsidRDefault="00B06463" w:rsidP="00B06463">
      <w:r w:rsidRPr="00E61D8C">
        <w:t xml:space="preserve">The main contributors to this </w:t>
      </w:r>
      <w:r w:rsidR="00BB0738">
        <w:t>decrease</w:t>
      </w:r>
      <w:r w:rsidRPr="00E61D8C">
        <w:t xml:space="preserve"> were </w:t>
      </w:r>
      <w:r w:rsidR="00A13557" w:rsidRPr="00E61D8C">
        <w:rPr>
          <w:i/>
        </w:rPr>
        <w:t>Music</w:t>
      </w:r>
      <w:r w:rsidRPr="00E61D8C">
        <w:t xml:space="preserve"> (</w:t>
      </w:r>
      <w:r w:rsidR="000B1CA8">
        <w:rPr>
          <w:rFonts w:cstheme="minorHAnsi"/>
        </w:rPr>
        <w:t>↓$</w:t>
      </w:r>
      <w:r w:rsidR="000B1CA8">
        <w:t>95.4m</w:t>
      </w:r>
      <w:r w:rsidRPr="00E61D8C">
        <w:t>),</w:t>
      </w:r>
      <w:r w:rsidR="005663C5" w:rsidRPr="00E61D8C">
        <w:t xml:space="preserve"> </w:t>
      </w:r>
      <w:r w:rsidR="000B1CA8" w:rsidRPr="000B1CA8">
        <w:rPr>
          <w:i/>
          <w:iCs/>
        </w:rPr>
        <w:t>Arts education</w:t>
      </w:r>
      <w:r w:rsidR="000B1CA8">
        <w:t xml:space="preserve"> (</w:t>
      </w:r>
      <w:r w:rsidR="000B1CA8">
        <w:rPr>
          <w:rFonts w:cstheme="minorHAnsi"/>
        </w:rPr>
        <w:t>↓</w:t>
      </w:r>
      <w:r w:rsidR="000B1CA8">
        <w:t xml:space="preserve">$76.6m) </w:t>
      </w:r>
      <w:r w:rsidR="000E5975">
        <w:t xml:space="preserve">and </w:t>
      </w:r>
      <w:r w:rsidRPr="00E61D8C">
        <w:rPr>
          <w:i/>
        </w:rPr>
        <w:t>Mu</w:t>
      </w:r>
      <w:r w:rsidR="00A13557" w:rsidRPr="00E61D8C">
        <w:rPr>
          <w:i/>
        </w:rPr>
        <w:t>sic theatre and opera</w:t>
      </w:r>
      <w:r w:rsidRPr="00E61D8C">
        <w:t xml:space="preserve"> (</w:t>
      </w:r>
      <w:r w:rsidR="000B1CA8">
        <w:rPr>
          <w:rFonts w:cstheme="minorHAnsi"/>
        </w:rPr>
        <w:t>↓</w:t>
      </w:r>
      <w:r w:rsidR="000B1CA8">
        <w:t>$51.2</w:t>
      </w:r>
      <w:r w:rsidRPr="00E61D8C">
        <w:t>)</w:t>
      </w:r>
      <w:r w:rsidR="00A13557" w:rsidRPr="00E61D8C">
        <w:t xml:space="preserve">. </w:t>
      </w:r>
      <w:r w:rsidR="00BB0738">
        <w:rPr>
          <w:lang w:eastAsia="en-US"/>
        </w:rPr>
        <w:t xml:space="preserve">However, </w:t>
      </w:r>
      <w:r w:rsidR="000B1CA8">
        <w:rPr>
          <w:lang w:eastAsia="en-US"/>
        </w:rPr>
        <w:t xml:space="preserve">these were offset by </w:t>
      </w:r>
      <w:r w:rsidR="00BB0738">
        <w:rPr>
          <w:lang w:eastAsia="en-US"/>
        </w:rPr>
        <w:t xml:space="preserve">a large increase in the category of </w:t>
      </w:r>
      <w:r w:rsidR="00BB0738" w:rsidRPr="000B1CA8">
        <w:rPr>
          <w:i/>
          <w:iCs/>
          <w:lang w:eastAsia="en-US"/>
        </w:rPr>
        <w:t>Cross-art form</w:t>
      </w:r>
      <w:r w:rsidR="00BB0738">
        <w:rPr>
          <w:lang w:eastAsia="en-US"/>
        </w:rPr>
        <w:t xml:space="preserve"> (</w:t>
      </w:r>
      <w:r w:rsidR="00BB0738" w:rsidRPr="00E61D8C">
        <w:t>↑$</w:t>
      </w:r>
      <w:r w:rsidR="00BB0738">
        <w:t>158.4</w:t>
      </w:r>
      <w:r w:rsidR="00BB0738" w:rsidRPr="00E61D8C">
        <w:t>m</w:t>
      </w:r>
      <w:r w:rsidR="00BB0738">
        <w:rPr>
          <w:lang w:eastAsia="en-US"/>
        </w:rPr>
        <w:t xml:space="preserve">), with the majority coming from </w:t>
      </w:r>
      <w:r w:rsidR="00BC38F6">
        <w:rPr>
          <w:lang w:eastAsia="en-US"/>
        </w:rPr>
        <w:t xml:space="preserve">the </w:t>
      </w:r>
      <w:r w:rsidR="00BB0738">
        <w:rPr>
          <w:lang w:eastAsia="en-US"/>
        </w:rPr>
        <w:t>Victoria</w:t>
      </w:r>
      <w:r w:rsidR="00BC38F6">
        <w:rPr>
          <w:lang w:eastAsia="en-US"/>
        </w:rPr>
        <w:t>n Government</w:t>
      </w:r>
      <w:r w:rsidR="00BB0738">
        <w:rPr>
          <w:lang w:eastAsia="en-US"/>
        </w:rPr>
        <w:t>.</w:t>
      </w:r>
    </w:p>
    <w:p w14:paraId="7577D51B" w14:textId="107BABF8" w:rsidR="003C5AF8" w:rsidRDefault="00B06463" w:rsidP="00B06463">
      <w:pPr>
        <w:pStyle w:val="Tablefigureheading"/>
      </w:pPr>
      <w:bookmarkStart w:id="6" w:name="_Toc524533024"/>
      <w:r w:rsidRPr="00E61D8C">
        <w:lastRenderedPageBreak/>
        <w:t>Figure 3. State and territory government arts expenditure</w:t>
      </w:r>
      <w:r w:rsidR="00A62E73" w:rsidRPr="00E61D8C">
        <w:t xml:space="preserve"> (recurrent and capital)</w:t>
      </w:r>
      <w:r w:rsidRPr="00E61D8C">
        <w:t>, by selected categories</w:t>
      </w:r>
      <w:bookmarkStart w:id="7" w:name="_Ref200704765"/>
      <w:bookmarkEnd w:id="6"/>
      <w:r w:rsidR="009D637B">
        <w:rPr>
          <w:rStyle w:val="FootnoteReference"/>
        </w:rPr>
        <w:footnoteReference w:id="4"/>
      </w:r>
      <w:bookmarkEnd w:id="7"/>
    </w:p>
    <w:p w14:paraId="529E4C19" w14:textId="45AB301D" w:rsidR="00197A53" w:rsidRPr="00197A53" w:rsidRDefault="00413FAA" w:rsidP="00197A53">
      <w:pPr>
        <w:rPr>
          <w:lang w:eastAsia="en-US"/>
        </w:rPr>
      </w:pPr>
      <w:r>
        <w:rPr>
          <w:noProof/>
        </w:rPr>
        <w:drawing>
          <wp:inline distT="0" distB="0" distL="0" distR="0" wp14:anchorId="5361909E" wp14:editId="60F59A8D">
            <wp:extent cx="5657851" cy="2533650"/>
            <wp:effectExtent l="0" t="0" r="0" b="0"/>
            <wp:docPr id="2118115184" name="Chart 1" descr="Figure 3. State and territory government arts expenditure (recurrent and capital), by selected categories.&#10;A column graph compares expenditure across selected arts categories of Music, Performing arts venues, Cross-art form, Visual arts &amp; crafts, Film &amp; video production &amp; distribution, Arts education, Multi-arts festivals and Arts administration between the financial years of 2020-21, 2021-22 and 2023-24 for State and territory government.&#10;2020-21: Music $108.7m, Performing arts venues $510.9m, Cross-art form $73.2m, Visual arts &amp; crafts $61.1m, Film &amp; video production &amp; distribution $161.6m, Arts education $176.2m, Multi-arts festivals $99.5m, Arts administration $89.3m.&#10;2021-22: Music $197.8m, Performing arts venues $464.8m, Cross-art form $52.3m, Visual arts &amp; crafts $67.2m, Film &amp; video production &amp; distribution $175.4m, Arts education $184.5m, Multi-arts festivals $110.4m, Arts administration $99.5m.&#10;2023-24: Music $102.4m, Performing arts venues $477.2m, Cross-art form $210.7m, Visual arts &amp; crafts $88.2m, Film &amp; video production &amp; distribution $228.6m, Arts education $107.9m, Multi-arts festivals $98.2m, Arts administration $130.5m.">
              <a:extLst xmlns:a="http://schemas.openxmlformats.org/drawingml/2006/main">
                <a:ext uri="{FF2B5EF4-FFF2-40B4-BE49-F238E27FC236}">
                  <a16:creationId xmlns:a16="http://schemas.microsoft.com/office/drawing/2014/main" id="{275DFCB5-7D3E-4C61-9BC7-A9F0EB7AE8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B6FDCA" w14:textId="0AFC75C3" w:rsidR="00B06463" w:rsidRPr="00E61D8C" w:rsidRDefault="00B06463" w:rsidP="00B06463">
      <w:r w:rsidRPr="00E61D8C">
        <w:t xml:space="preserve">The highest amount of state and territory government </w:t>
      </w:r>
      <w:r w:rsidRPr="00E61D8C">
        <w:rPr>
          <w:i/>
        </w:rPr>
        <w:t>Arts</w:t>
      </w:r>
      <w:r w:rsidRPr="00E61D8C">
        <w:t xml:space="preserve"> expenditure was for </w:t>
      </w:r>
      <w:r w:rsidRPr="00E61D8C">
        <w:rPr>
          <w:i/>
        </w:rPr>
        <w:t>Performing arts venues</w:t>
      </w:r>
      <w:r w:rsidRPr="00E61D8C">
        <w:t xml:space="preserve"> ($</w:t>
      </w:r>
      <w:r w:rsidR="00A62E73" w:rsidRPr="00E61D8C">
        <w:t>4</w:t>
      </w:r>
      <w:r w:rsidR="00561D6D">
        <w:t>77</w:t>
      </w:r>
      <w:r w:rsidR="00A62E73" w:rsidRPr="00E61D8C">
        <w:t>.</w:t>
      </w:r>
      <w:r w:rsidR="00561D6D">
        <w:t>2</w:t>
      </w:r>
      <w:r w:rsidRPr="00E61D8C">
        <w:t xml:space="preserve">m), with the governments of </w:t>
      </w:r>
      <w:r w:rsidR="00561D6D">
        <w:t>South Australia</w:t>
      </w:r>
      <w:r w:rsidRPr="00E61D8C">
        <w:t xml:space="preserve"> ($1</w:t>
      </w:r>
      <w:r w:rsidR="00A62E73" w:rsidRPr="00E61D8C">
        <w:t>6</w:t>
      </w:r>
      <w:r w:rsidR="00561D6D">
        <w:t>4</w:t>
      </w:r>
      <w:r w:rsidR="00A62E73" w:rsidRPr="00E61D8C">
        <w:t>.</w:t>
      </w:r>
      <w:r w:rsidR="00561D6D">
        <w:t>3</w:t>
      </w:r>
      <w:r w:rsidRPr="00E61D8C">
        <w:t>m or 3</w:t>
      </w:r>
      <w:r w:rsidR="00561D6D">
        <w:t>4</w:t>
      </w:r>
      <w:r w:rsidRPr="00E61D8C">
        <w:t xml:space="preserve">%) and </w:t>
      </w:r>
      <w:r w:rsidR="00A62E73" w:rsidRPr="00E61D8C">
        <w:t>Queensland</w:t>
      </w:r>
      <w:r w:rsidRPr="00E61D8C">
        <w:t xml:space="preserve"> ($</w:t>
      </w:r>
      <w:r w:rsidR="00A62E73" w:rsidRPr="00E61D8C">
        <w:t>12</w:t>
      </w:r>
      <w:r w:rsidR="00561D6D">
        <w:t>2</w:t>
      </w:r>
      <w:r w:rsidR="00A62E73" w:rsidRPr="00E61D8C">
        <w:t>.</w:t>
      </w:r>
      <w:r w:rsidR="00561D6D">
        <w:t>2</w:t>
      </w:r>
      <w:r w:rsidRPr="00E61D8C">
        <w:t xml:space="preserve">m or </w:t>
      </w:r>
      <w:r w:rsidR="00A62E73" w:rsidRPr="00E61D8C">
        <w:t>2</w:t>
      </w:r>
      <w:r w:rsidR="00561D6D">
        <w:t>6</w:t>
      </w:r>
      <w:r w:rsidRPr="00E61D8C">
        <w:t xml:space="preserve">%) contributing most of the funding </w:t>
      </w:r>
      <w:r w:rsidR="00862BAB" w:rsidRPr="00E61D8C">
        <w:t>to</w:t>
      </w:r>
      <w:r w:rsidRPr="00E61D8C">
        <w:t xml:space="preserve"> this category.</w:t>
      </w:r>
    </w:p>
    <w:p w14:paraId="5A3333C1" w14:textId="77777777" w:rsidR="00B06463" w:rsidRPr="00E61D8C" w:rsidRDefault="00B06463" w:rsidP="00674627">
      <w:pPr>
        <w:keepNext/>
        <w:spacing w:after="0"/>
      </w:pPr>
      <w:r w:rsidRPr="00E61D8C">
        <w:t xml:space="preserve">Other main categories of </w:t>
      </w:r>
      <w:r w:rsidRPr="00E61D8C">
        <w:rPr>
          <w:i/>
        </w:rPr>
        <w:t>Arts</w:t>
      </w:r>
      <w:r w:rsidRPr="00E61D8C">
        <w:t xml:space="preserve"> activities funding were:</w:t>
      </w:r>
    </w:p>
    <w:p w14:paraId="6BCCC761" w14:textId="2D08FF9F" w:rsidR="00561D6D" w:rsidRPr="00561D6D" w:rsidRDefault="00561D6D" w:rsidP="00674627">
      <w:pPr>
        <w:pStyle w:val="Bulletlevel1"/>
        <w:numPr>
          <w:ilvl w:val="0"/>
          <w:numId w:val="12"/>
        </w:numPr>
        <w:spacing w:after="0"/>
        <w:ind w:left="567" w:hanging="567"/>
      </w:pPr>
      <w:r w:rsidRPr="00E61D8C">
        <w:rPr>
          <w:i/>
        </w:rPr>
        <w:t>Film and video production and distribution</w:t>
      </w:r>
      <w:r w:rsidRPr="00E61D8C">
        <w:t>—$</w:t>
      </w:r>
      <w:r>
        <w:t>228.6</w:t>
      </w:r>
      <w:r w:rsidRPr="00E61D8C">
        <w:t>m</w:t>
      </w:r>
    </w:p>
    <w:p w14:paraId="7955593D" w14:textId="0B71892B" w:rsidR="00B06463" w:rsidRDefault="00561D6D" w:rsidP="00674627">
      <w:pPr>
        <w:pStyle w:val="Bulletlevel1"/>
        <w:numPr>
          <w:ilvl w:val="0"/>
          <w:numId w:val="12"/>
        </w:numPr>
        <w:spacing w:after="0"/>
        <w:ind w:left="567" w:hanging="567"/>
      </w:pPr>
      <w:r>
        <w:rPr>
          <w:i/>
        </w:rPr>
        <w:t>Cross-art form</w:t>
      </w:r>
      <w:r w:rsidR="00B06463" w:rsidRPr="00E61D8C">
        <w:t>—$</w:t>
      </w:r>
      <w:r>
        <w:t>210.7</w:t>
      </w:r>
      <w:r w:rsidR="00B06463" w:rsidRPr="00E61D8C">
        <w:t>m</w:t>
      </w:r>
    </w:p>
    <w:p w14:paraId="431FBC78" w14:textId="28848FF7" w:rsidR="00561D6D" w:rsidRPr="00E61D8C" w:rsidRDefault="00561D6D" w:rsidP="00561D6D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 xml:space="preserve">Arts </w:t>
      </w:r>
      <w:r>
        <w:rPr>
          <w:i/>
        </w:rPr>
        <w:t>administration</w:t>
      </w:r>
      <w:r w:rsidRPr="00E61D8C">
        <w:t>—$</w:t>
      </w:r>
      <w:r>
        <w:t>130.5</w:t>
      </w:r>
      <w:r w:rsidRPr="00E61D8C">
        <w:t>m</w:t>
      </w:r>
    </w:p>
    <w:p w14:paraId="5A4D691A" w14:textId="12D500A4" w:rsidR="00B06463" w:rsidRPr="00E61D8C" w:rsidRDefault="00A62E7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Arts education</w:t>
      </w:r>
      <w:r w:rsidR="00B06463" w:rsidRPr="00E61D8C">
        <w:t>—$</w:t>
      </w:r>
      <w:r w:rsidR="00561D6D">
        <w:t>107.9</w:t>
      </w:r>
      <w:r w:rsidR="00B06463" w:rsidRPr="00E61D8C">
        <w:t>m</w:t>
      </w:r>
    </w:p>
    <w:p w14:paraId="66C5F2AB" w14:textId="469F5C95" w:rsidR="00B06463" w:rsidRPr="00E61D8C" w:rsidRDefault="00561D6D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>
        <w:rPr>
          <w:i/>
        </w:rPr>
        <w:t>Music</w:t>
      </w:r>
      <w:r w:rsidRPr="00E61D8C">
        <w:t>—</w:t>
      </w:r>
      <w:r>
        <w:t>$102.4</w:t>
      </w:r>
      <w:r w:rsidR="00B06463" w:rsidRPr="00E61D8C">
        <w:t>m</w:t>
      </w:r>
    </w:p>
    <w:p w14:paraId="52FB7D5C" w14:textId="756F4599" w:rsidR="00B06463" w:rsidRPr="00E61D8C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Multi-arts festivals</w:t>
      </w:r>
      <w:r w:rsidRPr="00E61D8C">
        <w:t>—$</w:t>
      </w:r>
      <w:r w:rsidR="00561D6D">
        <w:t>98.2</w:t>
      </w:r>
      <w:r w:rsidRPr="00E61D8C">
        <w:t>m</w:t>
      </w:r>
    </w:p>
    <w:p w14:paraId="02578B85" w14:textId="6A89ECEF" w:rsidR="00561D6D" w:rsidRPr="00E61D8C" w:rsidRDefault="00561D6D" w:rsidP="00561D6D">
      <w:pPr>
        <w:pStyle w:val="Bulletlevel1"/>
        <w:numPr>
          <w:ilvl w:val="0"/>
          <w:numId w:val="12"/>
        </w:numPr>
        <w:spacing w:before="240"/>
        <w:ind w:left="567" w:hanging="567"/>
      </w:pPr>
      <w:r>
        <w:rPr>
          <w:i/>
        </w:rPr>
        <w:t>Visual arts and crafts</w:t>
      </w:r>
      <w:r w:rsidRPr="00E61D8C">
        <w:rPr>
          <w:i/>
        </w:rPr>
        <w:t xml:space="preserve"> </w:t>
      </w:r>
      <w:r w:rsidRPr="00E61D8C">
        <w:t>—$</w:t>
      </w:r>
      <w:r>
        <w:t>88.2</w:t>
      </w:r>
      <w:r w:rsidRPr="00E61D8C">
        <w:t>m</w:t>
      </w:r>
      <w:r>
        <w:t>.</w:t>
      </w:r>
    </w:p>
    <w:p w14:paraId="7FCADFF4" w14:textId="77777777" w:rsidR="00B06463" w:rsidRPr="00F0060F" w:rsidRDefault="00B06463" w:rsidP="00B06463">
      <w:pPr>
        <w:pStyle w:val="Heading3"/>
        <w:rPr>
          <w:color w:val="5860B0" w:themeColor="accent3" w:themeShade="BF"/>
        </w:rPr>
      </w:pPr>
      <w:bookmarkStart w:id="8" w:name="_Hlk11224443"/>
      <w:bookmarkStart w:id="9" w:name="_Hlk109913824"/>
      <w:r>
        <w:t>Recurrent expenditure</w:t>
      </w:r>
    </w:p>
    <w:bookmarkEnd w:id="8"/>
    <w:p w14:paraId="24FE9425" w14:textId="2C89DE5F" w:rsidR="00B06463" w:rsidRDefault="00B06463" w:rsidP="00B06463">
      <w:r w:rsidRPr="00514F76">
        <w:t xml:space="preserve">Total recurrent expenditure </w:t>
      </w:r>
      <w:r w:rsidR="00561D6D" w:rsidRPr="00514F76">
        <w:t>dropped</w:t>
      </w:r>
      <w:r w:rsidRPr="00514F76">
        <w:t xml:space="preserve"> </w:t>
      </w:r>
      <w:r w:rsidR="00561D6D" w:rsidRPr="00514F76">
        <w:t>5</w:t>
      </w:r>
      <w:r w:rsidRPr="00514F76">
        <w:t>% (or $</w:t>
      </w:r>
      <w:r w:rsidR="00514F76">
        <w:t>131.5</w:t>
      </w:r>
      <w:r w:rsidRPr="00514F76">
        <w:t>m) to $2</w:t>
      </w:r>
      <w:r w:rsidR="00514F76">
        <w:t>,419</w:t>
      </w:r>
      <w:r w:rsidR="001413E0" w:rsidRPr="00514F76">
        <w:t>.</w:t>
      </w:r>
      <w:r w:rsidR="00C63583">
        <w:t>9</w:t>
      </w:r>
      <w:r w:rsidRPr="00514F76">
        <w:t>m and accounted for 7</w:t>
      </w:r>
      <w:r w:rsidR="00514F76" w:rsidRPr="00514F76">
        <w:t>3</w:t>
      </w:r>
      <w:r w:rsidRPr="00514F76">
        <w:t>% of total funded cultural expenditure.</w:t>
      </w:r>
    </w:p>
    <w:p w14:paraId="48A929E0" w14:textId="4549CAE0" w:rsidR="00514F76" w:rsidRPr="00514F76" w:rsidRDefault="00BC38F6" w:rsidP="00B06463">
      <w:r w:rsidRPr="00BC38F6">
        <w:rPr>
          <w:i/>
          <w:iCs/>
        </w:rPr>
        <w:t>Music</w:t>
      </w:r>
      <w:r>
        <w:t xml:space="preserve"> (</w:t>
      </w:r>
      <w:r>
        <w:rPr>
          <w:rFonts w:cstheme="minorHAnsi"/>
        </w:rPr>
        <w:t>↓</w:t>
      </w:r>
      <w:r>
        <w:t>$</w:t>
      </w:r>
      <w:r w:rsidR="005A160C">
        <w:t>9</w:t>
      </w:r>
      <w:r w:rsidR="00572F8F">
        <w:t>4</w:t>
      </w:r>
      <w:r w:rsidR="005A160C">
        <w:t>.</w:t>
      </w:r>
      <w:r w:rsidR="00572F8F">
        <w:t>8</w:t>
      </w:r>
      <w:r>
        <w:t xml:space="preserve">m), </w:t>
      </w:r>
      <w:r w:rsidRPr="00BC38F6">
        <w:rPr>
          <w:i/>
          <w:iCs/>
        </w:rPr>
        <w:t>Arts education</w:t>
      </w:r>
      <w:r>
        <w:t xml:space="preserve"> (</w:t>
      </w:r>
      <w:r>
        <w:rPr>
          <w:rFonts w:cstheme="minorHAnsi"/>
        </w:rPr>
        <w:t>↓</w:t>
      </w:r>
      <w:r>
        <w:t>$</w:t>
      </w:r>
      <w:r w:rsidR="005A160C">
        <w:t>79.6</w:t>
      </w:r>
      <w:r>
        <w:t xml:space="preserve">m) and </w:t>
      </w:r>
      <w:r w:rsidRPr="00BC38F6">
        <w:rPr>
          <w:i/>
          <w:iCs/>
        </w:rPr>
        <w:t>Music theatre and opera</w:t>
      </w:r>
      <w:r>
        <w:t xml:space="preserve"> (</w:t>
      </w:r>
      <w:r>
        <w:rPr>
          <w:rFonts w:cstheme="minorHAnsi"/>
        </w:rPr>
        <w:t>↓</w:t>
      </w:r>
      <w:r>
        <w:t>$</w:t>
      </w:r>
      <w:r w:rsidR="005A160C">
        <w:t>51.2</w:t>
      </w:r>
      <w:r>
        <w:t>m)</w:t>
      </w:r>
      <w:r w:rsidR="00514F76">
        <w:t xml:space="preserve"> w</w:t>
      </w:r>
      <w:r>
        <w:t>ere</w:t>
      </w:r>
      <w:r w:rsidR="00514F76">
        <w:t xml:space="preserve"> the main contributor</w:t>
      </w:r>
      <w:r>
        <w:t>s</w:t>
      </w:r>
      <w:r w:rsidR="00514F76">
        <w:t xml:space="preserve"> to this decrease.</w:t>
      </w:r>
    </w:p>
    <w:p w14:paraId="558616B2" w14:textId="56348189" w:rsidR="00B06463" w:rsidRPr="00514F76" w:rsidRDefault="00B06463" w:rsidP="00B06463">
      <w:r w:rsidRPr="00514F76">
        <w:t xml:space="preserve">The </w:t>
      </w:r>
      <w:r w:rsidR="00FB4CF2" w:rsidRPr="00514F76">
        <w:t>highest</w:t>
      </w:r>
      <w:r w:rsidRPr="00514F76">
        <w:t xml:space="preserve"> recurrent expenditure was for</w:t>
      </w:r>
      <w:r w:rsidR="00514F76" w:rsidRPr="00514F76">
        <w:t xml:space="preserve"> </w:t>
      </w:r>
      <w:r w:rsidR="00514F76" w:rsidRPr="00514F76">
        <w:rPr>
          <w:i/>
          <w:iCs/>
        </w:rPr>
        <w:t>Libraries</w:t>
      </w:r>
      <w:r w:rsidR="00514F76" w:rsidRPr="00514F76">
        <w:t xml:space="preserve"> with $431.8m, followed by </w:t>
      </w:r>
      <w:r w:rsidR="00514F76" w:rsidRPr="00514F76">
        <w:rPr>
          <w:i/>
        </w:rPr>
        <w:t>Other museums and cultural heritage</w:t>
      </w:r>
      <w:r w:rsidR="00514F76" w:rsidRPr="00514F76">
        <w:t xml:space="preserve"> with $4</w:t>
      </w:r>
      <w:r w:rsidR="00514F76">
        <w:t>11</w:t>
      </w:r>
      <w:r w:rsidR="00514F76" w:rsidRPr="00514F76">
        <w:t>.</w:t>
      </w:r>
      <w:r w:rsidR="00514F76">
        <w:t>4</w:t>
      </w:r>
      <w:r w:rsidR="00514F76" w:rsidRPr="00514F76">
        <w:t>m</w:t>
      </w:r>
      <w:r w:rsidRPr="00514F76">
        <w:t>.</w:t>
      </w:r>
    </w:p>
    <w:p w14:paraId="69268985" w14:textId="754B43EB" w:rsidR="00B06463" w:rsidRPr="002048DB" w:rsidRDefault="00B06463" w:rsidP="00514F76">
      <w:pPr>
        <w:pStyle w:val="bullets-arrows"/>
        <w:numPr>
          <w:ilvl w:val="0"/>
          <w:numId w:val="6"/>
        </w:numPr>
        <w:ind w:left="567" w:hanging="567"/>
      </w:pPr>
      <w:r w:rsidRPr="002048DB">
        <w:t xml:space="preserve">The </w:t>
      </w:r>
      <w:r w:rsidR="00E43238" w:rsidRPr="002048DB">
        <w:t>New South Wales</w:t>
      </w:r>
      <w:r w:rsidRPr="002048DB">
        <w:t xml:space="preserve"> Government spent the most recurrent dollars on </w:t>
      </w:r>
      <w:r w:rsidR="00514F76" w:rsidRPr="002048DB">
        <w:rPr>
          <w:i/>
        </w:rPr>
        <w:t>Libraries</w:t>
      </w:r>
      <w:r w:rsidRPr="002048DB">
        <w:t xml:space="preserve"> (</w:t>
      </w:r>
      <w:r w:rsidR="00804D0A" w:rsidRPr="002048DB">
        <w:t>$</w:t>
      </w:r>
      <w:r w:rsidR="002048DB" w:rsidRPr="002048DB">
        <w:t>112.5</w:t>
      </w:r>
      <w:r w:rsidR="00514F76" w:rsidRPr="002048DB">
        <w:t>m</w:t>
      </w:r>
      <w:r w:rsidRPr="002048DB">
        <w:t>)</w:t>
      </w:r>
      <w:r w:rsidR="00514F76" w:rsidRPr="002048DB">
        <w:t xml:space="preserve">, with </w:t>
      </w:r>
      <w:r w:rsidR="002048DB">
        <w:t xml:space="preserve">the </w:t>
      </w:r>
      <w:r w:rsidR="00514F76" w:rsidRPr="002048DB">
        <w:t>Victoria</w:t>
      </w:r>
      <w:r w:rsidR="002048DB">
        <w:t xml:space="preserve">n </w:t>
      </w:r>
      <w:r w:rsidR="002F4E3D">
        <w:t>G</w:t>
      </w:r>
      <w:r w:rsidR="002048DB">
        <w:t>overnment</w:t>
      </w:r>
      <w:r w:rsidR="00514F76" w:rsidRPr="002048DB">
        <w:t xml:space="preserve"> contributing the next highes</w:t>
      </w:r>
      <w:r w:rsidR="00BC38F6">
        <w:t>t</w:t>
      </w:r>
      <w:r w:rsidR="00514F76" w:rsidRPr="002048DB">
        <w:t xml:space="preserve"> </w:t>
      </w:r>
      <w:r w:rsidR="00BC38F6">
        <w:t xml:space="preserve">in this category </w:t>
      </w:r>
      <w:r w:rsidR="002048DB" w:rsidRPr="002048DB">
        <w:t>($107.4m)</w:t>
      </w:r>
      <w:r w:rsidR="00514F76" w:rsidRPr="002048DB">
        <w:t>.</w:t>
      </w:r>
    </w:p>
    <w:p w14:paraId="3D0A4C4F" w14:textId="121E5CD1" w:rsidR="00514F76" w:rsidRDefault="002048DB" w:rsidP="00514F76">
      <w:pPr>
        <w:pStyle w:val="bullets-arrows"/>
        <w:numPr>
          <w:ilvl w:val="0"/>
          <w:numId w:val="6"/>
        </w:numPr>
        <w:ind w:left="567" w:hanging="567"/>
      </w:pPr>
      <w:r>
        <w:t xml:space="preserve">Half of the state and territory governments spent the largest proportion of their recurrent expenditure on </w:t>
      </w:r>
      <w:r w:rsidRPr="002048DB">
        <w:rPr>
          <w:i/>
          <w:iCs/>
        </w:rPr>
        <w:t>Libraries</w:t>
      </w:r>
      <w:r>
        <w:t xml:space="preserve"> (Victoria, Queensland, South Australia and Tasmania). Tasmania</w:t>
      </w:r>
      <w:r w:rsidR="00514F76">
        <w:t xml:space="preserve"> had the highest proportion </w:t>
      </w:r>
      <w:r>
        <w:t>with</w:t>
      </w:r>
      <w:r w:rsidR="00514F76">
        <w:t xml:space="preserve"> </w:t>
      </w:r>
      <w:r>
        <w:t>42%</w:t>
      </w:r>
      <w:r w:rsidR="00514F76">
        <w:t>.</w:t>
      </w:r>
    </w:p>
    <w:p w14:paraId="7FBBD98D" w14:textId="1ECDC6C6" w:rsidR="00514F76" w:rsidRPr="002048DB" w:rsidRDefault="00514F76" w:rsidP="00514F76">
      <w:pPr>
        <w:pStyle w:val="bullets-arrows"/>
        <w:numPr>
          <w:ilvl w:val="0"/>
          <w:numId w:val="6"/>
        </w:numPr>
        <w:ind w:left="567" w:hanging="567"/>
      </w:pPr>
      <w:r w:rsidRPr="002048DB">
        <w:t>The New South Wales Government also spent the most recurrent dollars</w:t>
      </w:r>
      <w:r w:rsidRPr="002048DB">
        <w:rPr>
          <w:i/>
        </w:rPr>
        <w:t xml:space="preserve"> </w:t>
      </w:r>
      <w:r w:rsidR="00C63583" w:rsidRPr="00C63583">
        <w:rPr>
          <w:iCs/>
        </w:rPr>
        <w:t>on</w:t>
      </w:r>
      <w:r w:rsidR="00C63583">
        <w:rPr>
          <w:i/>
        </w:rPr>
        <w:t xml:space="preserve"> </w:t>
      </w:r>
      <w:r w:rsidRPr="002048DB">
        <w:rPr>
          <w:i/>
        </w:rPr>
        <w:t xml:space="preserve">Other museums and cultural heritage </w:t>
      </w:r>
      <w:r w:rsidRPr="002048DB">
        <w:rPr>
          <w:iCs/>
        </w:rPr>
        <w:t>(</w:t>
      </w:r>
      <w:r w:rsidR="002048DB" w:rsidRPr="002048DB">
        <w:rPr>
          <w:iCs/>
        </w:rPr>
        <w:t>$121.5m</w:t>
      </w:r>
      <w:r w:rsidRPr="002048DB">
        <w:rPr>
          <w:iCs/>
        </w:rPr>
        <w:t>)</w:t>
      </w:r>
      <w:r w:rsidR="002048DB" w:rsidRPr="002048DB">
        <w:rPr>
          <w:iCs/>
        </w:rPr>
        <w:t>.</w:t>
      </w:r>
    </w:p>
    <w:p w14:paraId="03466E22" w14:textId="77777777" w:rsidR="009D637B" w:rsidRDefault="009D637B">
      <w:pPr>
        <w:spacing w:after="160" w:line="259" w:lineRule="auto"/>
      </w:pPr>
      <w:bookmarkStart w:id="10" w:name="_Hlk11224479"/>
      <w:r>
        <w:br w:type="page"/>
      </w:r>
    </w:p>
    <w:p w14:paraId="067697B9" w14:textId="5542EB37" w:rsidR="00B06463" w:rsidRPr="00BC38F6" w:rsidRDefault="00B06463" w:rsidP="00F4428E">
      <w:pPr>
        <w:spacing w:after="0"/>
      </w:pPr>
      <w:r w:rsidRPr="00BC38F6">
        <w:lastRenderedPageBreak/>
        <w:t>Other main categories of recurrent expenditure were:</w:t>
      </w:r>
    </w:p>
    <w:p w14:paraId="0EA756F9" w14:textId="3CD028BA" w:rsidR="00B06463" w:rsidRPr="00BC38F6" w:rsidRDefault="006271CB" w:rsidP="00F4428E">
      <w:pPr>
        <w:pStyle w:val="Bulletlevel1"/>
        <w:numPr>
          <w:ilvl w:val="0"/>
          <w:numId w:val="12"/>
        </w:numPr>
        <w:spacing w:after="0"/>
        <w:ind w:left="567" w:hanging="567"/>
      </w:pPr>
      <w:r w:rsidRPr="00BC38F6">
        <w:rPr>
          <w:i/>
        </w:rPr>
        <w:t xml:space="preserve">Art </w:t>
      </w:r>
      <w:r w:rsidR="00B06463" w:rsidRPr="00BC38F6">
        <w:rPr>
          <w:i/>
        </w:rPr>
        <w:t>museums</w:t>
      </w:r>
      <w:r w:rsidR="00B06463" w:rsidRPr="00BC38F6">
        <w:t>—$</w:t>
      </w:r>
      <w:r w:rsidR="00BC38F6" w:rsidRPr="00BC38F6">
        <w:t>293.0</w:t>
      </w:r>
      <w:r w:rsidR="00B06463" w:rsidRPr="00BC38F6">
        <w:t>m</w:t>
      </w:r>
    </w:p>
    <w:p w14:paraId="1DC569F9" w14:textId="29787C92" w:rsidR="00B06463" w:rsidRPr="00BC38F6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BC38F6">
        <w:rPr>
          <w:i/>
        </w:rPr>
        <w:t>Performing arts venues</w:t>
      </w:r>
      <w:r w:rsidRPr="00BC38F6">
        <w:t>—$</w:t>
      </w:r>
      <w:r w:rsidR="00BC38F6" w:rsidRPr="00BC38F6">
        <w:t>220.6</w:t>
      </w:r>
      <w:r w:rsidRPr="00BC38F6">
        <w:t>m</w:t>
      </w:r>
    </w:p>
    <w:p w14:paraId="572D9D52" w14:textId="4230BECD" w:rsidR="003C5AF8" w:rsidRPr="00BC38F6" w:rsidRDefault="00BC38F6" w:rsidP="003C5AF8">
      <w:pPr>
        <w:pStyle w:val="Bulletlevel1"/>
        <w:numPr>
          <w:ilvl w:val="0"/>
          <w:numId w:val="12"/>
        </w:numPr>
        <w:spacing w:before="240"/>
        <w:ind w:left="567" w:hanging="567"/>
      </w:pPr>
      <w:r w:rsidRPr="00BC38F6">
        <w:rPr>
          <w:i/>
        </w:rPr>
        <w:t>Film and video production and distribution</w:t>
      </w:r>
      <w:r w:rsidRPr="00BC38F6">
        <w:t xml:space="preserve"> </w:t>
      </w:r>
      <w:r w:rsidR="003C5AF8" w:rsidRPr="00BC38F6">
        <w:t>—$</w:t>
      </w:r>
      <w:r w:rsidRPr="00BC38F6">
        <w:t>204.2</w:t>
      </w:r>
      <w:r w:rsidR="003C5AF8" w:rsidRPr="00BC38F6">
        <w:t>m</w:t>
      </w:r>
      <w:r w:rsidR="00E61D8C" w:rsidRPr="00BC38F6">
        <w:t>.</w:t>
      </w:r>
    </w:p>
    <w:bookmarkEnd w:id="10"/>
    <w:bookmarkEnd w:id="9"/>
    <w:p w14:paraId="2917A4F4" w14:textId="44BEBBFE" w:rsidR="00572F10" w:rsidRPr="00E61D8C" w:rsidRDefault="00B06463" w:rsidP="00B06463">
      <w:pPr>
        <w:pStyle w:val="Tablefigureheading"/>
      </w:pPr>
      <w:r w:rsidRPr="00E61D8C">
        <w:t>Figure 4. State and territory government recurrent cultural expenditure, by selected categories</w:t>
      </w:r>
      <w:r w:rsidR="009D637B" w:rsidRPr="009D637B">
        <w:rPr>
          <w:vertAlign w:val="superscript"/>
        </w:rPr>
        <w:fldChar w:fldCharType="begin"/>
      </w:r>
      <w:r w:rsidR="009D637B" w:rsidRPr="009D637B">
        <w:rPr>
          <w:vertAlign w:val="superscript"/>
        </w:rPr>
        <w:instrText xml:space="preserve"> NOTEREF _Ref200704765 \h </w:instrText>
      </w:r>
      <w:r w:rsidR="009D637B">
        <w:rPr>
          <w:vertAlign w:val="superscript"/>
        </w:rPr>
        <w:instrText xml:space="preserve"> \* MERGEFORMAT </w:instrText>
      </w:r>
      <w:r w:rsidR="009D637B" w:rsidRPr="009D637B">
        <w:rPr>
          <w:vertAlign w:val="superscript"/>
        </w:rPr>
      </w:r>
      <w:r w:rsidR="009D637B" w:rsidRPr="009D637B">
        <w:rPr>
          <w:vertAlign w:val="superscript"/>
        </w:rPr>
        <w:fldChar w:fldCharType="separate"/>
      </w:r>
      <w:r w:rsidR="00D31C48">
        <w:rPr>
          <w:vertAlign w:val="superscript"/>
        </w:rPr>
        <w:t>4</w:t>
      </w:r>
      <w:r w:rsidR="009D637B" w:rsidRPr="009D637B">
        <w:rPr>
          <w:vertAlign w:val="superscript"/>
        </w:rPr>
        <w:fldChar w:fldCharType="end"/>
      </w:r>
    </w:p>
    <w:p w14:paraId="397F4362" w14:textId="38A21DC7" w:rsidR="00B06463" w:rsidRDefault="00413FAA" w:rsidP="00B06463">
      <w:pPr>
        <w:pStyle w:val="Tablefigureheading"/>
      </w:pPr>
      <w:r>
        <w:rPr>
          <w:noProof/>
        </w:rPr>
        <w:drawing>
          <wp:inline distT="0" distB="0" distL="0" distR="0" wp14:anchorId="3E5D1B6F" wp14:editId="4D9026CD">
            <wp:extent cx="5926455" cy="2658745"/>
            <wp:effectExtent l="0" t="0" r="0" b="8255"/>
            <wp:docPr id="308933274" name="Chart 1" descr="Figure 4. State and territory government recurrent cultural expenditure, by selected categories.&#10;A bar graph compares expenditure across selected arts categories of Art museums, Other museums &amp; cultural heritage, Libraries, Music, Performing arts venues, Film &amp; video production &amp; distribution, Arts education and Arts administration between the financial years of 2020-21, 2021-22, 2023-24 for State and territory government.&#10;2020-21: Art museums $254.3m, Other museums &amp; cultural heritage $399.9m, Libraries $409.3m, Music $106.5m, Performing arts venues $277.5m, Film &amp; video production &amp; distribution $119.7m, Arts education $175.5m, Arts administration $80.7m.&#10;2021-22: Art museums $247.7m, Other museums &amp; cultural heritage $428.5m, Libraries $399.6m, Music $197.2m, Performing arts venues $215.7m, Film &amp; video production &amp; distribution $169.2m, Arts education $183.9m, Arts administration $87.9m.&#10;2023-24: Art museums $293.0m, Other museums &amp; cultural heritage $411.4m, Libraries $431.8m, Music $102.4m, Performing arts venues $220.6m, Film &amp; video production &amp; distribution $204.2m, Arts education $104.3m, Arts administration $128.5m.">
              <a:extLst xmlns:a="http://schemas.openxmlformats.org/drawingml/2006/main">
                <a:ext uri="{FF2B5EF4-FFF2-40B4-BE49-F238E27FC236}">
                  <a16:creationId xmlns:a16="http://schemas.microsoft.com/office/drawing/2014/main" id="{A18A2C89-D4D0-08DD-BB7F-0EC18163E5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06463" w:rsidRPr="00B47579">
        <w:t xml:space="preserve"> </w:t>
      </w:r>
    </w:p>
    <w:p w14:paraId="6248DCD8" w14:textId="5FE36F21" w:rsidR="00B06463" w:rsidRPr="00BC38F6" w:rsidRDefault="00B06463" w:rsidP="00B06463">
      <w:pPr>
        <w:rPr>
          <w:lang w:eastAsia="en-US"/>
        </w:rPr>
      </w:pPr>
      <w:r w:rsidRPr="00BC38F6">
        <w:t>The</w:t>
      </w:r>
      <w:r w:rsidR="00572F10" w:rsidRPr="00BC38F6">
        <w:t xml:space="preserve"> New South Wales</w:t>
      </w:r>
      <w:r w:rsidRPr="00BC38F6">
        <w:t xml:space="preserve"> Government had the highest estimate of recurrent expenditure with $</w:t>
      </w:r>
      <w:r w:rsidR="00BC38F6" w:rsidRPr="00BC38F6">
        <w:t>629.3</w:t>
      </w:r>
      <w:r w:rsidR="00572F10" w:rsidRPr="00BC38F6">
        <w:t>m</w:t>
      </w:r>
      <w:r w:rsidRPr="00BC38F6">
        <w:t>.</w:t>
      </w:r>
    </w:p>
    <w:p w14:paraId="204D26EF" w14:textId="51B58346" w:rsidR="00B06463" w:rsidRPr="00BC38F6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BC38F6">
        <w:t xml:space="preserve">The New South Wales Government had the highest recurrent expenditure on </w:t>
      </w:r>
      <w:r w:rsidRPr="00BC38F6">
        <w:rPr>
          <w:i/>
        </w:rPr>
        <w:t>Heritage</w:t>
      </w:r>
      <w:r w:rsidRPr="00BC38F6">
        <w:t xml:space="preserve"> activities ($</w:t>
      </w:r>
      <w:r w:rsidR="00572F10" w:rsidRPr="00BC38F6">
        <w:t>3</w:t>
      </w:r>
      <w:r w:rsidR="00BC38F6" w:rsidRPr="00BC38F6">
        <w:t>21.4</w:t>
      </w:r>
      <w:r w:rsidRPr="00BC38F6">
        <w:t>).</w:t>
      </w:r>
    </w:p>
    <w:p w14:paraId="4ADB57D8" w14:textId="17812141" w:rsidR="00B06463" w:rsidRPr="00BC38F6" w:rsidRDefault="00572F10" w:rsidP="00B06463">
      <w:pPr>
        <w:pStyle w:val="bullets-arrows"/>
        <w:numPr>
          <w:ilvl w:val="0"/>
          <w:numId w:val="6"/>
        </w:numPr>
        <w:ind w:left="567" w:hanging="567"/>
      </w:pPr>
      <w:r w:rsidRPr="00BC38F6">
        <w:t xml:space="preserve">The New South Wales Government </w:t>
      </w:r>
      <w:r w:rsidR="00C63583">
        <w:t xml:space="preserve">also </w:t>
      </w:r>
      <w:r w:rsidR="00B06463" w:rsidRPr="00BC38F6">
        <w:t xml:space="preserve">had the highest recurrent expenditure on </w:t>
      </w:r>
      <w:r w:rsidR="00B06463" w:rsidRPr="00BC38F6">
        <w:rPr>
          <w:i/>
        </w:rPr>
        <w:t>Arts</w:t>
      </w:r>
      <w:r w:rsidR="00B06463" w:rsidRPr="00BC38F6">
        <w:t xml:space="preserve"> activities ($</w:t>
      </w:r>
      <w:r w:rsidR="00BC38F6" w:rsidRPr="00BC38F6">
        <w:t>307</w:t>
      </w:r>
      <w:r w:rsidRPr="00BC38F6">
        <w:t>.</w:t>
      </w:r>
      <w:r w:rsidR="00BC38F6" w:rsidRPr="00BC38F6">
        <w:t>9</w:t>
      </w:r>
      <w:r w:rsidR="00B06463" w:rsidRPr="00BC38F6">
        <w:t>m).</w:t>
      </w:r>
    </w:p>
    <w:p w14:paraId="054C7277" w14:textId="442159E1" w:rsidR="00C96703" w:rsidRPr="00E61D8C" w:rsidRDefault="00B06463" w:rsidP="00B06463">
      <w:pPr>
        <w:pStyle w:val="Tablefigureheading"/>
      </w:pPr>
      <w:bookmarkStart w:id="11" w:name="_Toc524532998"/>
      <w:r w:rsidRPr="00E61D8C">
        <w:t xml:space="preserve">Figure 5. State and territory governments recurrent cultural expenditure(a), heritage and </w:t>
      </w:r>
    </w:p>
    <w:p w14:paraId="5BC5DC13" w14:textId="6BF6CBB7" w:rsidR="00B06463" w:rsidRPr="00E61D8C" w:rsidRDefault="00B06463" w:rsidP="00B06463">
      <w:pPr>
        <w:pStyle w:val="Tablefigureheading"/>
      </w:pPr>
      <w:r w:rsidRPr="00E61D8C">
        <w:t>arts—202</w:t>
      </w:r>
      <w:r w:rsidR="00561D6D">
        <w:t>3</w:t>
      </w:r>
      <w:r w:rsidRPr="00E61D8C">
        <w:t>–</w:t>
      </w:r>
      <w:bookmarkEnd w:id="11"/>
      <w:r w:rsidRPr="00E61D8C">
        <w:t>2</w:t>
      </w:r>
      <w:r w:rsidR="00561D6D">
        <w:t>4</w:t>
      </w:r>
    </w:p>
    <w:p w14:paraId="4564F8F5" w14:textId="10C7691D" w:rsidR="00572F10" w:rsidRPr="00572F10" w:rsidRDefault="00083283" w:rsidP="00572F10">
      <w:pPr>
        <w:rPr>
          <w:lang w:eastAsia="en-US"/>
        </w:rPr>
      </w:pPr>
      <w:r>
        <w:rPr>
          <w:noProof/>
        </w:rPr>
        <w:drawing>
          <wp:inline distT="0" distB="0" distL="0" distR="0" wp14:anchorId="4D182B9E" wp14:editId="188CB585">
            <wp:extent cx="5457819" cy="2743200"/>
            <wp:effectExtent l="0" t="0" r="0" b="0"/>
            <wp:docPr id="1270324641" name="Chart 1" descr="Figure 5. State and territory governments recurrent cultural expenditure, heritage and arts, by state and territory, 2023-24.&#10;A column graph compares recurrent cultural expenditure across heritage and arts by state and territory;&#10;NSW: Heritage $321.4m, Arts $307.9m, Total $629.3m&#10;Victoria: Heritage $279.2m, Arts $290.9m, Total $570.1m&#10;Qld: Heritage $237.2m, Arts $232.0m, Total $469.1m&#10;SA: Heritage $83.2m, Arts $116.5m, Total $199.7m&#10;WA: Heritage $139.2m, Arts $166.8m, Total $306.0m&#10;Tas: Heritage $63.5m, Arts $23.6m, Total $87.1m&#10;NT: Heritage $43.5m, Arts $29.6m, Total 73.0m&#10;ACT: Heritage $39.0m, Arts $46.6m, Total $85.6m">
              <a:extLst xmlns:a="http://schemas.openxmlformats.org/drawingml/2006/main">
                <a:ext uri="{FF2B5EF4-FFF2-40B4-BE49-F238E27FC236}">
                  <a16:creationId xmlns:a16="http://schemas.microsoft.com/office/drawing/2014/main" id="{7F2EA45D-9D23-F640-04E8-3089BB5229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E5DF11A" w14:textId="0EE3FB1E" w:rsidR="00784525" w:rsidRDefault="00B06463" w:rsidP="00B06463">
      <w:pPr>
        <w:pStyle w:val="Sourcenote"/>
        <w:numPr>
          <w:ilvl w:val="0"/>
          <w:numId w:val="9"/>
        </w:numPr>
        <w:spacing w:after="0"/>
      </w:pPr>
      <w:r w:rsidRPr="00AC6FCD">
        <w:rPr>
          <w:sz w:val="18"/>
          <w:szCs w:val="18"/>
        </w:rPr>
        <w:t>Care should be taken when comparing expenditure between states and territories due to different</w:t>
      </w:r>
      <w:r w:rsidR="00E61D8C">
        <w:rPr>
          <w:sz w:val="18"/>
          <w:szCs w:val="18"/>
        </w:rPr>
        <w:t xml:space="preserve"> </w:t>
      </w:r>
      <w:r w:rsidRPr="00784525">
        <w:rPr>
          <w:sz w:val="18"/>
          <w:szCs w:val="18"/>
        </w:rPr>
        <w:t>administrative arrangements</w:t>
      </w:r>
      <w:r w:rsidRPr="004576DC">
        <w:t>.</w:t>
      </w:r>
      <w:bookmarkStart w:id="12" w:name="_Hlk11224558"/>
      <w:bookmarkStart w:id="13" w:name="_Toc524532999"/>
    </w:p>
    <w:p w14:paraId="44716D69" w14:textId="77777777" w:rsidR="00561D6D" w:rsidRPr="00561D6D" w:rsidRDefault="00561D6D" w:rsidP="00561D6D"/>
    <w:p w14:paraId="409F10D1" w14:textId="77777777" w:rsidR="00083283" w:rsidRDefault="00083283">
      <w:pPr>
        <w:spacing w:after="160" w:line="259" w:lineRule="auto"/>
        <w:rPr>
          <w:rFonts w:asciiTheme="majorHAnsi" w:eastAsiaTheme="majorEastAsia" w:hAnsiTheme="majorHAnsi" w:cstheme="majorBidi"/>
          <w:b/>
          <w:color w:val="554B87"/>
          <w:sz w:val="30"/>
          <w:szCs w:val="24"/>
          <w:lang w:eastAsia="en-US"/>
        </w:rPr>
      </w:pPr>
      <w:r>
        <w:br w:type="page"/>
      </w:r>
    </w:p>
    <w:p w14:paraId="25BD095E" w14:textId="2727E593" w:rsidR="00B06463" w:rsidRPr="00D35B94" w:rsidRDefault="00B06463" w:rsidP="00B06463">
      <w:pPr>
        <w:pStyle w:val="Heading3"/>
      </w:pPr>
      <w:r>
        <w:lastRenderedPageBreak/>
        <w:t>Capital expenditure</w:t>
      </w:r>
    </w:p>
    <w:p w14:paraId="3D99D4BA" w14:textId="6D41252A" w:rsidR="00083283" w:rsidRDefault="00B06463" w:rsidP="00B06463">
      <w:r w:rsidRPr="00083283">
        <w:t>Capital expenditure accounted for 2</w:t>
      </w:r>
      <w:r w:rsidR="00083283" w:rsidRPr="00083283">
        <w:t>7</w:t>
      </w:r>
      <w:r w:rsidRPr="00083283">
        <w:t>% ($</w:t>
      </w:r>
      <w:r w:rsidR="00083283" w:rsidRPr="00083283">
        <w:t>916.7</w:t>
      </w:r>
      <w:r w:rsidRPr="00083283">
        <w:t>m) of total state and territory funded cultural spending</w:t>
      </w:r>
      <w:r w:rsidR="00083283">
        <w:t>.</w:t>
      </w:r>
    </w:p>
    <w:p w14:paraId="601D2D31" w14:textId="2A101A88" w:rsidR="00B06463" w:rsidRPr="00083283" w:rsidRDefault="00083283" w:rsidP="00B06463">
      <w:r>
        <w:t xml:space="preserve">Capital expenditure increased by 18% (or $142.4m) from </w:t>
      </w:r>
      <w:r w:rsidRPr="00252B87">
        <w:t>2021–22</w:t>
      </w:r>
      <w:r>
        <w:t xml:space="preserve">. The highest </w:t>
      </w:r>
      <w:r w:rsidR="00EE018B">
        <w:t>dollar</w:t>
      </w:r>
      <w:r>
        <w:t xml:space="preserve"> increase in capital expenditure was in South Australia (</w:t>
      </w:r>
      <w:r w:rsidR="00EE018B">
        <w:t>$121.5m</w:t>
      </w:r>
      <w:r>
        <w:t>)</w:t>
      </w:r>
      <w:r w:rsidR="00EE018B">
        <w:t>.</w:t>
      </w:r>
    </w:p>
    <w:bookmarkEnd w:id="12"/>
    <w:p w14:paraId="5A5BAD08" w14:textId="4BF4CD3A" w:rsidR="00B06463" w:rsidRPr="00083283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083283">
        <w:t xml:space="preserve">The largest two categories were </w:t>
      </w:r>
      <w:r w:rsidR="007B2A7A" w:rsidRPr="00083283">
        <w:rPr>
          <w:i/>
        </w:rPr>
        <w:t xml:space="preserve">Other </w:t>
      </w:r>
      <w:r w:rsidRPr="00083283">
        <w:rPr>
          <w:i/>
        </w:rPr>
        <w:t>museums</w:t>
      </w:r>
      <w:r w:rsidR="007B2A7A" w:rsidRPr="00083283">
        <w:rPr>
          <w:i/>
        </w:rPr>
        <w:t xml:space="preserve"> and cultural heritage</w:t>
      </w:r>
      <w:r w:rsidRPr="00083283">
        <w:t xml:space="preserve"> ($</w:t>
      </w:r>
      <w:r w:rsidR="00083283" w:rsidRPr="00083283">
        <w:t>369.4</w:t>
      </w:r>
      <w:r w:rsidRPr="00083283">
        <w:t>m)</w:t>
      </w:r>
      <w:r w:rsidR="00083283" w:rsidRPr="00083283">
        <w:t xml:space="preserve"> and </w:t>
      </w:r>
      <w:r w:rsidR="00083283" w:rsidRPr="00083283">
        <w:rPr>
          <w:i/>
        </w:rPr>
        <w:t>Performing arts venues</w:t>
      </w:r>
      <w:r w:rsidR="00083283" w:rsidRPr="00083283">
        <w:t xml:space="preserve"> ($2</w:t>
      </w:r>
      <w:r w:rsidR="00083283">
        <w:t>56</w:t>
      </w:r>
      <w:r w:rsidR="00083283" w:rsidRPr="00083283">
        <w:t>.</w:t>
      </w:r>
      <w:r w:rsidR="00083283">
        <w:t>6</w:t>
      </w:r>
      <w:r w:rsidR="00083283" w:rsidRPr="00083283">
        <w:t>m)</w:t>
      </w:r>
      <w:r w:rsidRPr="00083283">
        <w:t>.</w:t>
      </w:r>
    </w:p>
    <w:p w14:paraId="0A09EBE5" w14:textId="2E286AFC" w:rsidR="00B06463" w:rsidRPr="00B04088" w:rsidRDefault="00B06463" w:rsidP="00B06463">
      <w:r w:rsidRPr="0050599D">
        <w:t xml:space="preserve">The </w:t>
      </w:r>
      <w:r w:rsidR="007B2A7A" w:rsidRPr="0050599D">
        <w:t xml:space="preserve">New South Wales Government </w:t>
      </w:r>
      <w:r w:rsidR="00EE018B" w:rsidRPr="0050599D">
        <w:t xml:space="preserve">contributed the most capital expenditure </w:t>
      </w:r>
      <w:r w:rsidR="007B2A7A" w:rsidRPr="0050599D">
        <w:t xml:space="preserve">for </w:t>
      </w:r>
      <w:r w:rsidR="007B2A7A" w:rsidRPr="0050599D">
        <w:rPr>
          <w:i/>
        </w:rPr>
        <w:t>Other museums and cultural heritage</w:t>
      </w:r>
      <w:r w:rsidRPr="0050599D">
        <w:rPr>
          <w:i/>
        </w:rPr>
        <w:t xml:space="preserve"> </w:t>
      </w:r>
      <w:r w:rsidRPr="0050599D">
        <w:rPr>
          <w:iCs/>
        </w:rPr>
        <w:t>(</w:t>
      </w:r>
      <w:r w:rsidRPr="0050599D">
        <w:t>$</w:t>
      </w:r>
      <w:r w:rsidR="0050599D">
        <w:t>296.7</w:t>
      </w:r>
      <w:r w:rsidRPr="0050599D">
        <w:t xml:space="preserve">m or </w:t>
      </w:r>
      <w:r w:rsidR="0050599D">
        <w:t>80</w:t>
      </w:r>
      <w:r w:rsidRPr="0050599D">
        <w:t>%)</w:t>
      </w:r>
      <w:r w:rsidR="00EE018B" w:rsidRPr="0050599D">
        <w:t xml:space="preserve"> and the </w:t>
      </w:r>
      <w:r w:rsidR="0050599D" w:rsidRPr="0050599D">
        <w:t>South Australian</w:t>
      </w:r>
      <w:r w:rsidR="00EE018B" w:rsidRPr="0050599D">
        <w:t xml:space="preserve"> Government for </w:t>
      </w:r>
      <w:r w:rsidR="00EE018B" w:rsidRPr="0050599D">
        <w:rPr>
          <w:i/>
        </w:rPr>
        <w:t xml:space="preserve">Performing arts venues </w:t>
      </w:r>
      <w:r w:rsidR="00EE018B" w:rsidRPr="0050599D">
        <w:t>($</w:t>
      </w:r>
      <w:r w:rsidR="0050599D">
        <w:t>148.0</w:t>
      </w:r>
      <w:r w:rsidR="00EE018B" w:rsidRPr="0050599D">
        <w:t xml:space="preserve">m or </w:t>
      </w:r>
      <w:r w:rsidR="0050599D">
        <w:t>58</w:t>
      </w:r>
      <w:r w:rsidR="00EE018B" w:rsidRPr="0050599D">
        <w:t>%)</w:t>
      </w:r>
      <w:r w:rsidRPr="0050599D">
        <w:t>.</w:t>
      </w:r>
    </w:p>
    <w:p w14:paraId="39AB5774" w14:textId="1B59294F" w:rsidR="00B06463" w:rsidRPr="00F0012F" w:rsidRDefault="00B06463" w:rsidP="00B06463">
      <w:pPr>
        <w:pStyle w:val="Tablefigureheading"/>
        <w:rPr>
          <w:color w:val="00B050"/>
        </w:rPr>
      </w:pPr>
      <w:r w:rsidRPr="00A95C6A">
        <w:t xml:space="preserve">Figure </w:t>
      </w:r>
      <w:r w:rsidRPr="00E61D8C">
        <w:t>6. State and territory governments capital cultural expenditure(a), heritage</w:t>
      </w:r>
      <w:r w:rsidR="00C96703" w:rsidRPr="00E61D8C">
        <w:t xml:space="preserve"> </w:t>
      </w:r>
      <w:r w:rsidRPr="00E61D8C">
        <w:t>and arts—202</w:t>
      </w:r>
      <w:r w:rsidR="00083283">
        <w:t>3</w:t>
      </w:r>
      <w:r w:rsidRPr="00E61D8C">
        <w:t>–</w:t>
      </w:r>
      <w:bookmarkEnd w:id="13"/>
      <w:r w:rsidRPr="00E61D8C">
        <w:t>2</w:t>
      </w:r>
      <w:r w:rsidR="00083283">
        <w:t>4</w:t>
      </w:r>
    </w:p>
    <w:p w14:paraId="6F4544A0" w14:textId="3B8C2643" w:rsidR="00652CB8" w:rsidRPr="00652CB8" w:rsidRDefault="00DD712B" w:rsidP="00652CB8">
      <w:pPr>
        <w:rPr>
          <w:lang w:eastAsia="en-US"/>
        </w:rPr>
      </w:pPr>
      <w:r>
        <w:rPr>
          <w:noProof/>
        </w:rPr>
        <w:drawing>
          <wp:inline distT="0" distB="0" distL="0" distR="0" wp14:anchorId="0AA4BC39" wp14:editId="5867042D">
            <wp:extent cx="5457819" cy="2428875"/>
            <wp:effectExtent l="0" t="0" r="0" b="0"/>
            <wp:docPr id="1682840440" name="Chart 1" descr="Figure 6. State and territory governments capital cultural expenditure, heritage and arts, by state and territory - 2023-24&#10;A column graph compares capital cultural expenditure across heritage and arts by state and territory;&#10;NSW: Heritage $333.5m, Arts $47.7m, Total $381.2m&#10;Victoria: Heritage $25.0m, Arts $131.7m, Total $156.8m&#10;Qld: Heritage $31.6m, Arts $81.4m, Total $113.0m&#10;SA: Heritage $17.2m, Arts $156.8m, Total $174.0m&#10;WA: Heritage $26.5m, Arts $43.6m, Total $70.1m&#10;Tas: Heritage $1.3m, Arts $0.0m, Total $1.3m&#10;NT: Heritage $4.6m, Arts $2.7m, Total $7.3m&#10;ACT: Heritage $8.5m, Arts $4.5m, Total $12.9m">
              <a:extLst xmlns:a="http://schemas.openxmlformats.org/drawingml/2006/main">
                <a:ext uri="{FF2B5EF4-FFF2-40B4-BE49-F238E27FC236}">
                  <a16:creationId xmlns:a16="http://schemas.microsoft.com/office/drawing/2014/main" id="{190E12C6-97FE-4425-8B50-6807BAEC44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BAA0F6" w14:textId="77777777" w:rsidR="00B06463" w:rsidRPr="00AC6FCD" w:rsidRDefault="00B06463" w:rsidP="003520EF">
      <w:pPr>
        <w:pStyle w:val="Sourcenote"/>
        <w:numPr>
          <w:ilvl w:val="0"/>
          <w:numId w:val="10"/>
        </w:numPr>
        <w:spacing w:after="0"/>
        <w:rPr>
          <w:sz w:val="18"/>
          <w:szCs w:val="18"/>
        </w:rPr>
      </w:pPr>
      <w:r w:rsidRPr="00AC6FCD">
        <w:rPr>
          <w:sz w:val="18"/>
          <w:szCs w:val="18"/>
        </w:rPr>
        <w:t>Care should be taken when comparing expenditure between states and territories due to different administrative arrangements.</w:t>
      </w:r>
    </w:p>
    <w:p w14:paraId="4D215116" w14:textId="77777777" w:rsidR="003520EF" w:rsidRDefault="003520EF" w:rsidP="00B06463"/>
    <w:p w14:paraId="6CBDB509" w14:textId="2D371D4D" w:rsidR="00B06463" w:rsidRPr="00DB140E" w:rsidRDefault="00B06463" w:rsidP="00B06463">
      <w:r w:rsidRPr="00DB140E">
        <w:t xml:space="preserve">The New South Wales Government had the highest capital expenditure on </w:t>
      </w:r>
      <w:r w:rsidRPr="00DB140E">
        <w:rPr>
          <w:i/>
        </w:rPr>
        <w:t>Heritage</w:t>
      </w:r>
      <w:r w:rsidRPr="00DB140E">
        <w:t xml:space="preserve"> activities ($</w:t>
      </w:r>
      <w:r w:rsidR="0050599D" w:rsidRPr="00DB140E">
        <w:t>333.5</w:t>
      </w:r>
      <w:r w:rsidRPr="00DB140E">
        <w:t xml:space="preserve">m) followed by </w:t>
      </w:r>
      <w:r w:rsidR="0050599D" w:rsidRPr="00DB140E">
        <w:t>Queensland</w:t>
      </w:r>
      <w:r w:rsidRPr="00DB140E">
        <w:t xml:space="preserve"> ($</w:t>
      </w:r>
      <w:r w:rsidR="0050599D" w:rsidRPr="00DB140E">
        <w:t>31.6m</w:t>
      </w:r>
      <w:r w:rsidRPr="00DB140E">
        <w:t>) and Western Australia ($</w:t>
      </w:r>
      <w:r w:rsidR="0050599D" w:rsidRPr="00DB140E">
        <w:t>26.5</w:t>
      </w:r>
      <w:r w:rsidRPr="00DB140E">
        <w:t>m).</w:t>
      </w:r>
    </w:p>
    <w:p w14:paraId="44D718E6" w14:textId="7855079C" w:rsidR="00B06463" w:rsidRPr="00B04088" w:rsidRDefault="00B06463" w:rsidP="00B06463">
      <w:r w:rsidRPr="00DB140E">
        <w:t xml:space="preserve">The </w:t>
      </w:r>
      <w:r w:rsidR="00DB140E" w:rsidRPr="00DB140E">
        <w:t>South Australian</w:t>
      </w:r>
      <w:r w:rsidRPr="00DB140E">
        <w:t xml:space="preserve"> Government had the highest estimate for capital expenditure on </w:t>
      </w:r>
      <w:r w:rsidRPr="00DB140E">
        <w:rPr>
          <w:i/>
        </w:rPr>
        <w:t>Arts</w:t>
      </w:r>
      <w:r w:rsidRPr="00DB140E">
        <w:t xml:space="preserve"> activities ($1</w:t>
      </w:r>
      <w:r w:rsidR="00DB140E" w:rsidRPr="00DB140E">
        <w:t>56.8</w:t>
      </w:r>
      <w:r w:rsidRPr="00DB140E">
        <w:t xml:space="preserve">m), followed by </w:t>
      </w:r>
      <w:r w:rsidR="00DB140E" w:rsidRPr="00DB140E">
        <w:t>Victoria</w:t>
      </w:r>
      <w:r w:rsidRPr="00DB140E">
        <w:t xml:space="preserve"> ($</w:t>
      </w:r>
      <w:r w:rsidR="00DB140E" w:rsidRPr="00DB140E">
        <w:t>131.7</w:t>
      </w:r>
      <w:r w:rsidRPr="00DB140E">
        <w:t>m).</w:t>
      </w:r>
    </w:p>
    <w:sectPr w:rsidR="00B06463" w:rsidRPr="00B04088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1EE8111E" w:rsidR="00FC0C98" w:rsidRPr="002454AC" w:rsidRDefault="00B06463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24033A">
      <w:rPr>
        <w:sz w:val="18"/>
        <w:szCs w:val="18"/>
      </w:rPr>
      <w:t>Cultu</w:t>
    </w:r>
    <w:r>
      <w:rPr>
        <w:sz w:val="18"/>
        <w:szCs w:val="18"/>
      </w:rPr>
      <w:t>ral Funding by Government—202</w:t>
    </w:r>
    <w:r w:rsidR="00124FD4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124FD4">
      <w:rPr>
        <w:sz w:val="18"/>
        <w:szCs w:val="18"/>
      </w:rPr>
      <w:t>4</w:t>
    </w:r>
    <w:r w:rsidRPr="0024033A">
      <w:rPr>
        <w:sz w:val="18"/>
        <w:szCs w:val="18"/>
      </w:rPr>
      <w:t>—</w:t>
    </w:r>
    <w:r>
      <w:rPr>
        <w:sz w:val="18"/>
        <w:szCs w:val="18"/>
      </w:rPr>
      <w:t>State and territory government</w:t>
    </w:r>
    <w:r w:rsidR="00FC0C98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FC0C98" w:rsidRPr="0037566A">
          <w:rPr>
            <w:sz w:val="18"/>
            <w:szCs w:val="18"/>
          </w:rPr>
          <w:t xml:space="preserve">Page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PAGE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  <w:r w:rsidR="00FC0C98" w:rsidRPr="0037566A">
          <w:rPr>
            <w:sz w:val="18"/>
            <w:szCs w:val="18"/>
          </w:rPr>
          <w:t xml:space="preserve"> of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NUMPAGES 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4170BC4D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124FD4">
      <w:rPr>
        <w:i/>
        <w:iCs/>
        <w:noProof/>
        <w:sz w:val="18"/>
        <w:szCs w:val="18"/>
        <w:lang w:eastAsia="en-AU"/>
      </w:rPr>
      <w:t>3</w:t>
    </w:r>
    <w:r>
      <w:t>–</w:t>
    </w:r>
    <w:r w:rsidR="007628D6">
      <w:rPr>
        <w:i/>
        <w:iCs/>
        <w:noProof/>
        <w:sz w:val="18"/>
        <w:szCs w:val="18"/>
        <w:lang w:eastAsia="en-AU"/>
      </w:rPr>
      <w:t>2</w:t>
    </w:r>
    <w:r w:rsidR="00124FD4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068EA143" w14:textId="6AC71340" w:rsidR="00394AB9" w:rsidRPr="00394AB9" w:rsidRDefault="00394AB9">
      <w:pPr>
        <w:pStyle w:val="FootnoteText"/>
        <w:rPr>
          <w:sz w:val="17"/>
          <w:szCs w:val="17"/>
        </w:rPr>
      </w:pPr>
      <w:r w:rsidRPr="00394AB9">
        <w:rPr>
          <w:rStyle w:val="FootnoteReference"/>
          <w:sz w:val="17"/>
          <w:szCs w:val="17"/>
        </w:rPr>
        <w:footnoteRef/>
      </w:r>
      <w:r w:rsidRPr="00394AB9">
        <w:rPr>
          <w:sz w:val="17"/>
          <w:szCs w:val="17"/>
        </w:rPr>
        <w:t xml:space="preserve"> No survey was conducted for 2022-23 due to the move to a biennial collection cycle.</w:t>
      </w:r>
    </w:p>
  </w:footnote>
  <w:footnote w:id="2">
    <w:p w14:paraId="5C32181E" w14:textId="63618779" w:rsidR="00CD10B7" w:rsidRPr="00394AB9" w:rsidRDefault="00CD10B7" w:rsidP="00D97EBF">
      <w:pPr>
        <w:pStyle w:val="FootnoteText"/>
        <w:rPr>
          <w:sz w:val="17"/>
          <w:szCs w:val="17"/>
        </w:rPr>
      </w:pPr>
      <w:r w:rsidRPr="00394AB9">
        <w:rPr>
          <w:rStyle w:val="FootnoteReference"/>
          <w:sz w:val="17"/>
          <w:szCs w:val="17"/>
        </w:rPr>
        <w:footnoteRef/>
      </w:r>
      <w:r w:rsidRPr="00394AB9">
        <w:rPr>
          <w:sz w:val="17"/>
          <w:szCs w:val="17"/>
        </w:rPr>
        <w:t xml:space="preserve"> Includes $281.8m targeted cultural and creative sector COVID support funding, reported across categories and totals.</w:t>
      </w:r>
      <w:r w:rsidR="005A160C" w:rsidRPr="00394AB9">
        <w:rPr>
          <w:sz w:val="17"/>
          <w:szCs w:val="17"/>
        </w:rPr>
        <w:t xml:space="preserve"> $1.5m</w:t>
      </w:r>
      <w:r w:rsidR="00AA2F89">
        <w:rPr>
          <w:sz w:val="17"/>
          <w:szCs w:val="17"/>
        </w:rPr>
        <w:t xml:space="preserve"> of this expenditure</w:t>
      </w:r>
      <w:r w:rsidR="005A160C" w:rsidRPr="00394AB9">
        <w:rPr>
          <w:sz w:val="17"/>
          <w:szCs w:val="17"/>
        </w:rPr>
        <w:t xml:space="preserve"> is included in the totals only.</w:t>
      </w:r>
    </w:p>
  </w:footnote>
  <w:footnote w:id="3">
    <w:p w14:paraId="432B37DF" w14:textId="27256A1B" w:rsidR="00CD10B7" w:rsidRPr="002A63D8" w:rsidRDefault="00CD10B7" w:rsidP="00B06463">
      <w:pPr>
        <w:pStyle w:val="FootnoteText"/>
        <w:rPr>
          <w:sz w:val="18"/>
          <w:szCs w:val="18"/>
        </w:rPr>
      </w:pPr>
      <w:r w:rsidRPr="00394AB9">
        <w:rPr>
          <w:rStyle w:val="FootnoteReference"/>
          <w:sz w:val="17"/>
          <w:szCs w:val="17"/>
        </w:rPr>
        <w:footnoteRef/>
      </w:r>
      <w:r w:rsidRPr="00394AB9">
        <w:rPr>
          <w:sz w:val="17"/>
          <w:szCs w:val="17"/>
        </w:rPr>
        <w:t xml:space="preserve"> Includes $436.3m targeted cultural and creative sector COVID support funding, reported across categories and totals. $22.1m</w:t>
      </w:r>
      <w:r w:rsidR="00AA2F89">
        <w:rPr>
          <w:sz w:val="17"/>
          <w:szCs w:val="17"/>
        </w:rPr>
        <w:t xml:space="preserve"> of this expenditure</w:t>
      </w:r>
      <w:r w:rsidRPr="00394AB9">
        <w:rPr>
          <w:sz w:val="17"/>
          <w:szCs w:val="17"/>
        </w:rPr>
        <w:t xml:space="preserve"> is included in the totals only.</w:t>
      </w:r>
    </w:p>
  </w:footnote>
  <w:footnote w:id="4">
    <w:p w14:paraId="738101D0" w14:textId="00FD76DF" w:rsidR="009D637B" w:rsidRPr="009D637B" w:rsidRDefault="009D637B">
      <w:pPr>
        <w:pStyle w:val="FootnoteText"/>
        <w:rPr>
          <w:sz w:val="17"/>
          <w:szCs w:val="17"/>
        </w:rPr>
      </w:pPr>
      <w:r w:rsidRPr="009D637B">
        <w:rPr>
          <w:rStyle w:val="FootnoteReference"/>
          <w:sz w:val="17"/>
          <w:szCs w:val="17"/>
        </w:rPr>
        <w:footnoteRef/>
      </w:r>
      <w:r w:rsidRPr="009D637B">
        <w:rPr>
          <w:sz w:val="17"/>
          <w:szCs w:val="17"/>
        </w:rPr>
        <w:t xml:space="preserve"> </w:t>
      </w:r>
      <w:r>
        <w:rPr>
          <w:sz w:val="17"/>
          <w:szCs w:val="17"/>
        </w:rPr>
        <w:t>Recurrent and total e</w:t>
      </w:r>
      <w:r w:rsidRPr="009D637B">
        <w:rPr>
          <w:sz w:val="17"/>
          <w:szCs w:val="17"/>
        </w:rPr>
        <w:t xml:space="preserve">xpenditure in the category of </w:t>
      </w:r>
      <w:r w:rsidRPr="009D637B">
        <w:rPr>
          <w:i/>
          <w:iCs/>
          <w:sz w:val="17"/>
          <w:szCs w:val="17"/>
        </w:rPr>
        <w:t>Performing arts venues</w:t>
      </w:r>
      <w:r w:rsidRPr="009D637B">
        <w:rPr>
          <w:sz w:val="17"/>
          <w:szCs w:val="17"/>
        </w:rPr>
        <w:t xml:space="preserve"> for 2021</w:t>
      </w:r>
      <w:r w:rsidR="00B27EBB" w:rsidRPr="00E61D8C">
        <w:t>–</w:t>
      </w:r>
      <w:r w:rsidRPr="009D637B">
        <w:rPr>
          <w:sz w:val="17"/>
          <w:szCs w:val="17"/>
        </w:rPr>
        <w:t>22 has been revised.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ADD5435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10AA1C80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532DA8">
      <w:t>September</w:t>
    </w:r>
    <w:r w:rsidR="00B06463">
      <w:t xml:space="preserve"> </w:t>
    </w:r>
    <w:r w:rsidR="00FC0C98">
      <w:t>202</w:t>
    </w:r>
    <w:r w:rsidR="00124FD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723"/>
    <w:multiLevelType w:val="hybridMultilevel"/>
    <w:tmpl w:val="0F6034AE"/>
    <w:lvl w:ilvl="0" w:tplc="66125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331D"/>
    <w:multiLevelType w:val="hybridMultilevel"/>
    <w:tmpl w:val="168C81D6"/>
    <w:lvl w:ilvl="0" w:tplc="22A221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3F70"/>
    <w:multiLevelType w:val="hybridMultilevel"/>
    <w:tmpl w:val="2EB41F5A"/>
    <w:lvl w:ilvl="0" w:tplc="43C0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7FA2"/>
    <w:multiLevelType w:val="hybridMultilevel"/>
    <w:tmpl w:val="8E8AD0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516A6"/>
    <w:rsid w:val="00055576"/>
    <w:rsid w:val="0006685E"/>
    <w:rsid w:val="00066DCE"/>
    <w:rsid w:val="00083283"/>
    <w:rsid w:val="00093C10"/>
    <w:rsid w:val="000B1CA8"/>
    <w:rsid w:val="000B27A8"/>
    <w:rsid w:val="000B7001"/>
    <w:rsid w:val="000E5975"/>
    <w:rsid w:val="00102934"/>
    <w:rsid w:val="0010452B"/>
    <w:rsid w:val="00111A64"/>
    <w:rsid w:val="00115114"/>
    <w:rsid w:val="00124FD4"/>
    <w:rsid w:val="001412C6"/>
    <w:rsid w:val="001413E0"/>
    <w:rsid w:val="001471EA"/>
    <w:rsid w:val="001472FC"/>
    <w:rsid w:val="001715EF"/>
    <w:rsid w:val="001736CC"/>
    <w:rsid w:val="00185E9F"/>
    <w:rsid w:val="001903A5"/>
    <w:rsid w:val="0019701B"/>
    <w:rsid w:val="001974CB"/>
    <w:rsid w:val="00197A53"/>
    <w:rsid w:val="001C7827"/>
    <w:rsid w:val="001D45AD"/>
    <w:rsid w:val="001D64AC"/>
    <w:rsid w:val="001D7905"/>
    <w:rsid w:val="002048DB"/>
    <w:rsid w:val="00210C69"/>
    <w:rsid w:val="002117E6"/>
    <w:rsid w:val="00213DEF"/>
    <w:rsid w:val="00221EAF"/>
    <w:rsid w:val="0023201F"/>
    <w:rsid w:val="00233C13"/>
    <w:rsid w:val="00234C00"/>
    <w:rsid w:val="002352F9"/>
    <w:rsid w:val="0024033A"/>
    <w:rsid w:val="00242B78"/>
    <w:rsid w:val="002454AC"/>
    <w:rsid w:val="00250147"/>
    <w:rsid w:val="00252B87"/>
    <w:rsid w:val="002618A0"/>
    <w:rsid w:val="00265D2E"/>
    <w:rsid w:val="00290F54"/>
    <w:rsid w:val="00290FEC"/>
    <w:rsid w:val="00292EFB"/>
    <w:rsid w:val="00293DD6"/>
    <w:rsid w:val="002966CA"/>
    <w:rsid w:val="002A3B4B"/>
    <w:rsid w:val="002A4338"/>
    <w:rsid w:val="002A4B2D"/>
    <w:rsid w:val="002A5985"/>
    <w:rsid w:val="002A6C8E"/>
    <w:rsid w:val="002B7962"/>
    <w:rsid w:val="002C2995"/>
    <w:rsid w:val="002C5369"/>
    <w:rsid w:val="002E1F12"/>
    <w:rsid w:val="002E2477"/>
    <w:rsid w:val="002E46A4"/>
    <w:rsid w:val="002F0402"/>
    <w:rsid w:val="002F3895"/>
    <w:rsid w:val="002F4E3D"/>
    <w:rsid w:val="002F6FFC"/>
    <w:rsid w:val="00302513"/>
    <w:rsid w:val="00303786"/>
    <w:rsid w:val="00327F06"/>
    <w:rsid w:val="00335334"/>
    <w:rsid w:val="00336DDD"/>
    <w:rsid w:val="00344694"/>
    <w:rsid w:val="0034581A"/>
    <w:rsid w:val="003512D3"/>
    <w:rsid w:val="003520EF"/>
    <w:rsid w:val="003633B4"/>
    <w:rsid w:val="00363704"/>
    <w:rsid w:val="00364D5D"/>
    <w:rsid w:val="00381364"/>
    <w:rsid w:val="00382743"/>
    <w:rsid w:val="0039367A"/>
    <w:rsid w:val="00394AB9"/>
    <w:rsid w:val="003A4341"/>
    <w:rsid w:val="003A525C"/>
    <w:rsid w:val="003B5B1D"/>
    <w:rsid w:val="003C5AF8"/>
    <w:rsid w:val="003C73DB"/>
    <w:rsid w:val="003D142F"/>
    <w:rsid w:val="003E6F2D"/>
    <w:rsid w:val="003E78EF"/>
    <w:rsid w:val="003F495D"/>
    <w:rsid w:val="003F5583"/>
    <w:rsid w:val="00400071"/>
    <w:rsid w:val="00400798"/>
    <w:rsid w:val="00400E77"/>
    <w:rsid w:val="0041185C"/>
    <w:rsid w:val="00413FAA"/>
    <w:rsid w:val="00420E56"/>
    <w:rsid w:val="00423090"/>
    <w:rsid w:val="00426F0B"/>
    <w:rsid w:val="00433E7A"/>
    <w:rsid w:val="00436F4C"/>
    <w:rsid w:val="0044078C"/>
    <w:rsid w:val="00445E64"/>
    <w:rsid w:val="00450D6E"/>
    <w:rsid w:val="00456F44"/>
    <w:rsid w:val="00467552"/>
    <w:rsid w:val="004755A2"/>
    <w:rsid w:val="00477982"/>
    <w:rsid w:val="004819E5"/>
    <w:rsid w:val="0048626B"/>
    <w:rsid w:val="0048644E"/>
    <w:rsid w:val="004B1D6E"/>
    <w:rsid w:val="004D0B6D"/>
    <w:rsid w:val="004E59C7"/>
    <w:rsid w:val="004F7E84"/>
    <w:rsid w:val="0050599D"/>
    <w:rsid w:val="00505B19"/>
    <w:rsid w:val="00506643"/>
    <w:rsid w:val="00514C96"/>
    <w:rsid w:val="00514F76"/>
    <w:rsid w:val="00523EDD"/>
    <w:rsid w:val="00526687"/>
    <w:rsid w:val="00532DA8"/>
    <w:rsid w:val="0053472E"/>
    <w:rsid w:val="005377F7"/>
    <w:rsid w:val="00542695"/>
    <w:rsid w:val="00543A5F"/>
    <w:rsid w:val="00544465"/>
    <w:rsid w:val="0054574B"/>
    <w:rsid w:val="005579A8"/>
    <w:rsid w:val="00561190"/>
    <w:rsid w:val="00561D6D"/>
    <w:rsid w:val="005658F1"/>
    <w:rsid w:val="00565B47"/>
    <w:rsid w:val="005663C5"/>
    <w:rsid w:val="00572F10"/>
    <w:rsid w:val="00572F8F"/>
    <w:rsid w:val="005741CF"/>
    <w:rsid w:val="00575A5A"/>
    <w:rsid w:val="005834B9"/>
    <w:rsid w:val="005932D0"/>
    <w:rsid w:val="00597F9B"/>
    <w:rsid w:val="005A160C"/>
    <w:rsid w:val="005B3551"/>
    <w:rsid w:val="005B458A"/>
    <w:rsid w:val="005C5D70"/>
    <w:rsid w:val="005C7C65"/>
    <w:rsid w:val="005E0EB8"/>
    <w:rsid w:val="005F23E0"/>
    <w:rsid w:val="00603738"/>
    <w:rsid w:val="00605481"/>
    <w:rsid w:val="0061446D"/>
    <w:rsid w:val="00625397"/>
    <w:rsid w:val="006271CB"/>
    <w:rsid w:val="0064138E"/>
    <w:rsid w:val="00643FD1"/>
    <w:rsid w:val="00652CB8"/>
    <w:rsid w:val="00674627"/>
    <w:rsid w:val="0068158D"/>
    <w:rsid w:val="00693994"/>
    <w:rsid w:val="006970A6"/>
    <w:rsid w:val="006A08AD"/>
    <w:rsid w:val="006A15EB"/>
    <w:rsid w:val="006A2F0E"/>
    <w:rsid w:val="006B1BBA"/>
    <w:rsid w:val="006B34DF"/>
    <w:rsid w:val="006C1A5F"/>
    <w:rsid w:val="006C5A9D"/>
    <w:rsid w:val="006D0316"/>
    <w:rsid w:val="006F06FD"/>
    <w:rsid w:val="006F50F3"/>
    <w:rsid w:val="0070126E"/>
    <w:rsid w:val="00705B86"/>
    <w:rsid w:val="00705FA6"/>
    <w:rsid w:val="00710F27"/>
    <w:rsid w:val="007260A2"/>
    <w:rsid w:val="007316EF"/>
    <w:rsid w:val="00741BB6"/>
    <w:rsid w:val="0074751D"/>
    <w:rsid w:val="00747A41"/>
    <w:rsid w:val="00753BB6"/>
    <w:rsid w:val="007628D6"/>
    <w:rsid w:val="00776F9D"/>
    <w:rsid w:val="00784525"/>
    <w:rsid w:val="0078474D"/>
    <w:rsid w:val="00784F67"/>
    <w:rsid w:val="007A4B0F"/>
    <w:rsid w:val="007A5DD1"/>
    <w:rsid w:val="007B2A7A"/>
    <w:rsid w:val="007B5690"/>
    <w:rsid w:val="007C601D"/>
    <w:rsid w:val="007D5B0D"/>
    <w:rsid w:val="007E2D0D"/>
    <w:rsid w:val="007F7885"/>
    <w:rsid w:val="008025B8"/>
    <w:rsid w:val="00804D0A"/>
    <w:rsid w:val="00813AD2"/>
    <w:rsid w:val="008169A6"/>
    <w:rsid w:val="0082186E"/>
    <w:rsid w:val="008228E2"/>
    <w:rsid w:val="00823A44"/>
    <w:rsid w:val="00834DE8"/>
    <w:rsid w:val="008365C8"/>
    <w:rsid w:val="00842CA0"/>
    <w:rsid w:val="0085286D"/>
    <w:rsid w:val="00860C86"/>
    <w:rsid w:val="00860CEE"/>
    <w:rsid w:val="00862BAB"/>
    <w:rsid w:val="008646E6"/>
    <w:rsid w:val="00866475"/>
    <w:rsid w:val="00867254"/>
    <w:rsid w:val="00871BBB"/>
    <w:rsid w:val="00893360"/>
    <w:rsid w:val="008A4B1F"/>
    <w:rsid w:val="008B2A19"/>
    <w:rsid w:val="008B6843"/>
    <w:rsid w:val="008B767F"/>
    <w:rsid w:val="008C0B20"/>
    <w:rsid w:val="008C2939"/>
    <w:rsid w:val="008D3C1B"/>
    <w:rsid w:val="008D4A7A"/>
    <w:rsid w:val="008D4E53"/>
    <w:rsid w:val="008D60E1"/>
    <w:rsid w:val="008D706C"/>
    <w:rsid w:val="008E06C3"/>
    <w:rsid w:val="008F7FA4"/>
    <w:rsid w:val="00912280"/>
    <w:rsid w:val="00923D33"/>
    <w:rsid w:val="00927FF3"/>
    <w:rsid w:val="009313D2"/>
    <w:rsid w:val="009315F6"/>
    <w:rsid w:val="00937283"/>
    <w:rsid w:val="0094124E"/>
    <w:rsid w:val="00950258"/>
    <w:rsid w:val="00956386"/>
    <w:rsid w:val="00957422"/>
    <w:rsid w:val="00957863"/>
    <w:rsid w:val="009654E0"/>
    <w:rsid w:val="00966C24"/>
    <w:rsid w:val="009753CD"/>
    <w:rsid w:val="0099363D"/>
    <w:rsid w:val="00993C06"/>
    <w:rsid w:val="0099456B"/>
    <w:rsid w:val="009B3FAB"/>
    <w:rsid w:val="009B74C6"/>
    <w:rsid w:val="009B7EF0"/>
    <w:rsid w:val="009C01D1"/>
    <w:rsid w:val="009C2481"/>
    <w:rsid w:val="009C385B"/>
    <w:rsid w:val="009C47F7"/>
    <w:rsid w:val="009C4C5C"/>
    <w:rsid w:val="009C627D"/>
    <w:rsid w:val="009D0D57"/>
    <w:rsid w:val="009D31E0"/>
    <w:rsid w:val="009D637B"/>
    <w:rsid w:val="009D756C"/>
    <w:rsid w:val="009E12E4"/>
    <w:rsid w:val="00A0554C"/>
    <w:rsid w:val="00A06663"/>
    <w:rsid w:val="00A13557"/>
    <w:rsid w:val="00A150F0"/>
    <w:rsid w:val="00A1771C"/>
    <w:rsid w:val="00A22246"/>
    <w:rsid w:val="00A241FE"/>
    <w:rsid w:val="00A258F0"/>
    <w:rsid w:val="00A35CD0"/>
    <w:rsid w:val="00A4385D"/>
    <w:rsid w:val="00A44D6C"/>
    <w:rsid w:val="00A5494B"/>
    <w:rsid w:val="00A555E5"/>
    <w:rsid w:val="00A57B08"/>
    <w:rsid w:val="00A606B1"/>
    <w:rsid w:val="00A6123A"/>
    <w:rsid w:val="00A62E73"/>
    <w:rsid w:val="00A65E50"/>
    <w:rsid w:val="00A66771"/>
    <w:rsid w:val="00A715DF"/>
    <w:rsid w:val="00A769B1"/>
    <w:rsid w:val="00A830DE"/>
    <w:rsid w:val="00A91A72"/>
    <w:rsid w:val="00AA2F89"/>
    <w:rsid w:val="00AA38E6"/>
    <w:rsid w:val="00AC0B64"/>
    <w:rsid w:val="00AC1A69"/>
    <w:rsid w:val="00AE4F02"/>
    <w:rsid w:val="00AF5FC0"/>
    <w:rsid w:val="00B04088"/>
    <w:rsid w:val="00B049A4"/>
    <w:rsid w:val="00B04E5C"/>
    <w:rsid w:val="00B06463"/>
    <w:rsid w:val="00B1045C"/>
    <w:rsid w:val="00B16766"/>
    <w:rsid w:val="00B27EBB"/>
    <w:rsid w:val="00B31A23"/>
    <w:rsid w:val="00B32DA1"/>
    <w:rsid w:val="00B43B95"/>
    <w:rsid w:val="00B43C56"/>
    <w:rsid w:val="00B54081"/>
    <w:rsid w:val="00B55747"/>
    <w:rsid w:val="00B704AE"/>
    <w:rsid w:val="00B723E4"/>
    <w:rsid w:val="00B87715"/>
    <w:rsid w:val="00B93737"/>
    <w:rsid w:val="00B9434E"/>
    <w:rsid w:val="00B945EA"/>
    <w:rsid w:val="00B96893"/>
    <w:rsid w:val="00BA0A5A"/>
    <w:rsid w:val="00BB0738"/>
    <w:rsid w:val="00BC0D30"/>
    <w:rsid w:val="00BC329E"/>
    <w:rsid w:val="00BC38F6"/>
    <w:rsid w:val="00BC4BB1"/>
    <w:rsid w:val="00BC7D72"/>
    <w:rsid w:val="00BE0053"/>
    <w:rsid w:val="00BE1F34"/>
    <w:rsid w:val="00BE7E66"/>
    <w:rsid w:val="00C02153"/>
    <w:rsid w:val="00C16794"/>
    <w:rsid w:val="00C240E2"/>
    <w:rsid w:val="00C35381"/>
    <w:rsid w:val="00C3695F"/>
    <w:rsid w:val="00C451EE"/>
    <w:rsid w:val="00C4655B"/>
    <w:rsid w:val="00C53A15"/>
    <w:rsid w:val="00C55F55"/>
    <w:rsid w:val="00C63583"/>
    <w:rsid w:val="00C96703"/>
    <w:rsid w:val="00CA2B7B"/>
    <w:rsid w:val="00CB178B"/>
    <w:rsid w:val="00CB3033"/>
    <w:rsid w:val="00CB66BB"/>
    <w:rsid w:val="00CC09C1"/>
    <w:rsid w:val="00CC4247"/>
    <w:rsid w:val="00CC75CC"/>
    <w:rsid w:val="00CD0CB6"/>
    <w:rsid w:val="00CD10B7"/>
    <w:rsid w:val="00CD5C1E"/>
    <w:rsid w:val="00CE07F2"/>
    <w:rsid w:val="00CE419F"/>
    <w:rsid w:val="00CE5C90"/>
    <w:rsid w:val="00D03AE2"/>
    <w:rsid w:val="00D042AD"/>
    <w:rsid w:val="00D14C03"/>
    <w:rsid w:val="00D31C48"/>
    <w:rsid w:val="00D32AE0"/>
    <w:rsid w:val="00D44042"/>
    <w:rsid w:val="00D45E2D"/>
    <w:rsid w:val="00D47936"/>
    <w:rsid w:val="00D521E7"/>
    <w:rsid w:val="00D746E5"/>
    <w:rsid w:val="00D86CAA"/>
    <w:rsid w:val="00D92957"/>
    <w:rsid w:val="00D95553"/>
    <w:rsid w:val="00D97EBF"/>
    <w:rsid w:val="00DB140E"/>
    <w:rsid w:val="00DB4FA3"/>
    <w:rsid w:val="00DB7840"/>
    <w:rsid w:val="00DC17B6"/>
    <w:rsid w:val="00DC2DFA"/>
    <w:rsid w:val="00DC4BD0"/>
    <w:rsid w:val="00DC6A98"/>
    <w:rsid w:val="00DD4ACA"/>
    <w:rsid w:val="00DD5D52"/>
    <w:rsid w:val="00DD712B"/>
    <w:rsid w:val="00DE560B"/>
    <w:rsid w:val="00DE72C2"/>
    <w:rsid w:val="00E0324C"/>
    <w:rsid w:val="00E03DF5"/>
    <w:rsid w:val="00E06D3D"/>
    <w:rsid w:val="00E17F11"/>
    <w:rsid w:val="00E23218"/>
    <w:rsid w:val="00E42F9F"/>
    <w:rsid w:val="00E43238"/>
    <w:rsid w:val="00E51D5C"/>
    <w:rsid w:val="00E61D8C"/>
    <w:rsid w:val="00E71039"/>
    <w:rsid w:val="00E7634B"/>
    <w:rsid w:val="00E76886"/>
    <w:rsid w:val="00E819BF"/>
    <w:rsid w:val="00E85276"/>
    <w:rsid w:val="00E92EB5"/>
    <w:rsid w:val="00E97404"/>
    <w:rsid w:val="00EA2F26"/>
    <w:rsid w:val="00EA3FAF"/>
    <w:rsid w:val="00EA5BA4"/>
    <w:rsid w:val="00EA6D34"/>
    <w:rsid w:val="00EB1B8F"/>
    <w:rsid w:val="00EB40A5"/>
    <w:rsid w:val="00EC0B9E"/>
    <w:rsid w:val="00ED619D"/>
    <w:rsid w:val="00EE018B"/>
    <w:rsid w:val="00EE5043"/>
    <w:rsid w:val="00EE7759"/>
    <w:rsid w:val="00EF13E0"/>
    <w:rsid w:val="00EF213E"/>
    <w:rsid w:val="00EF4B01"/>
    <w:rsid w:val="00EF61B4"/>
    <w:rsid w:val="00F0012F"/>
    <w:rsid w:val="00F02CC1"/>
    <w:rsid w:val="00F112DC"/>
    <w:rsid w:val="00F15C92"/>
    <w:rsid w:val="00F239E3"/>
    <w:rsid w:val="00F242E6"/>
    <w:rsid w:val="00F3567E"/>
    <w:rsid w:val="00F408EE"/>
    <w:rsid w:val="00F4428E"/>
    <w:rsid w:val="00F46F58"/>
    <w:rsid w:val="00F5332D"/>
    <w:rsid w:val="00F56262"/>
    <w:rsid w:val="00F67604"/>
    <w:rsid w:val="00F701E3"/>
    <w:rsid w:val="00F7051B"/>
    <w:rsid w:val="00F71ED2"/>
    <w:rsid w:val="00F86DEA"/>
    <w:rsid w:val="00F9394E"/>
    <w:rsid w:val="00F9793C"/>
    <w:rsid w:val="00FB3F66"/>
    <w:rsid w:val="00FB4CF2"/>
    <w:rsid w:val="00FC0C98"/>
    <w:rsid w:val="00FC16F3"/>
    <w:rsid w:val="00FC2CDB"/>
    <w:rsid w:val="00FD07CA"/>
    <w:rsid w:val="00FD6266"/>
    <w:rsid w:val="00FE6B97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s-arrows">
    <w:name w:val="bullets - arrows"/>
    <w:basedOn w:val="ListParagraph"/>
    <w:qFormat/>
    <w:rsid w:val="00B06463"/>
    <w:pPr>
      <w:numPr>
        <w:numId w:val="0"/>
      </w:numPr>
      <w:spacing w:before="240"/>
      <w:ind w:left="567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445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rp\absdfs\workgroup\NCE&amp;T\SURVEYS\Culture\Cultural%20Funding%20by%20Governments%20Survey\2023-24%20Survey\1.%20Working%20files\10%20-%20Other\ST_fact_sheet_calcs_23-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7362562634216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'S&amp;T graph 1'!$B$40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 1'!$A$41:$A$48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 1'!$B$41:$B$48</c:f>
              <c:numCache>
                <c:formatCode>0.0</c:formatCode>
                <c:ptCount val="8"/>
                <c:pt idx="0">
                  <c:v>906.4</c:v>
                </c:pt>
                <c:pt idx="1">
                  <c:v>771.9</c:v>
                </c:pt>
                <c:pt idx="2">
                  <c:v>506.7</c:v>
                </c:pt>
                <c:pt idx="3">
                  <c:v>233.3</c:v>
                </c:pt>
                <c:pt idx="4">
                  <c:v>294.89999999999998</c:v>
                </c:pt>
                <c:pt idx="5">
                  <c:v>90.4</c:v>
                </c:pt>
                <c:pt idx="6">
                  <c:v>77.2</c:v>
                </c:pt>
                <c:pt idx="7">
                  <c:v>74.400000000000006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1C-42F7-984A-BF473670328B}"/>
            </c:ext>
          </c:extLst>
        </c:ser>
        <c:ser>
          <c:idx val="1"/>
          <c:order val="1"/>
          <c:tx>
            <c:strRef>
              <c:f>'S&amp;T graph 1'!$C$40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 1'!$A$41:$A$48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 1'!$C$41:$C$48</c:f>
              <c:numCache>
                <c:formatCode>0.0</c:formatCode>
                <c:ptCount val="8"/>
                <c:pt idx="0">
                  <c:v>1159.5999999999999</c:v>
                </c:pt>
                <c:pt idx="1">
                  <c:v>745</c:v>
                </c:pt>
                <c:pt idx="2">
                  <c:v>518.1</c:v>
                </c:pt>
                <c:pt idx="3">
                  <c:v>296</c:v>
                </c:pt>
                <c:pt idx="4">
                  <c:v>350.1</c:v>
                </c:pt>
                <c:pt idx="5">
                  <c:v>94.9</c:v>
                </c:pt>
                <c:pt idx="6">
                  <c:v>79.900000000000006</c:v>
                </c:pt>
                <c:pt idx="7">
                  <c:v>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1C-42F7-984A-BF473670328B}"/>
            </c:ext>
          </c:extLst>
        </c:ser>
        <c:ser>
          <c:idx val="2"/>
          <c:order val="2"/>
          <c:tx>
            <c:strRef>
              <c:f>'S&amp;T graph 1'!$D$40</c:f>
              <c:strCache>
                <c:ptCount val="1"/>
                <c:pt idx="0">
                  <c:v>2023–24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 1'!$A$41:$A$48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 1'!$D$41:$D$48</c:f>
              <c:numCache>
                <c:formatCode>0.0</c:formatCode>
                <c:ptCount val="8"/>
                <c:pt idx="0">
                  <c:v>1010.5</c:v>
                </c:pt>
                <c:pt idx="1">
                  <c:v>726.8</c:v>
                </c:pt>
                <c:pt idx="2">
                  <c:v>582.1</c:v>
                </c:pt>
                <c:pt idx="3">
                  <c:v>373.7</c:v>
                </c:pt>
                <c:pt idx="4">
                  <c:v>376</c:v>
                </c:pt>
                <c:pt idx="5">
                  <c:v>88.4</c:v>
                </c:pt>
                <c:pt idx="6">
                  <c:v>80.400000000000006</c:v>
                </c:pt>
                <c:pt idx="7">
                  <c:v>98.5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1C-42F7-984A-BF4736703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80898221065"/>
          <c:y val="0.12796110713433551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252187226596669E-2"/>
          <c:y val="0.1111111111111111"/>
          <c:w val="0.89519225721784779"/>
          <c:h val="0.74383420822397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'S&amp;T graphs 2-4'!$B$38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graphs 2-4'!$A$39:$A$42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'S&amp;T graphs 2-4'!$B$39:$B$42</c:f>
              <c:numCache>
                <c:formatCode>#,##0.0</c:formatCode>
                <c:ptCount val="4"/>
                <c:pt idx="0">
                  <c:v>414</c:v>
                </c:pt>
                <c:pt idx="1">
                  <c:v>505.5</c:v>
                </c:pt>
                <c:pt idx="2">
                  <c:v>451.6</c:v>
                </c:pt>
                <c:pt idx="3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3-4DC7-B5C5-BD1F5B725F1F}"/>
            </c:ext>
          </c:extLst>
        </c:ser>
        <c:ser>
          <c:idx val="1"/>
          <c:order val="1"/>
          <c:tx>
            <c:strRef>
              <c:f>'S&amp;T graphs 2-4'!$C$38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graphs 2-4'!$A$39:$A$42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'S&amp;T graphs 2-4'!$C$39:$C$42</c:f>
              <c:numCache>
                <c:formatCode>#,##0.0</c:formatCode>
                <c:ptCount val="4"/>
                <c:pt idx="0">
                  <c:v>444.5</c:v>
                </c:pt>
                <c:pt idx="1">
                  <c:v>629.1</c:v>
                </c:pt>
                <c:pt idx="2">
                  <c:v>462.6</c:v>
                </c:pt>
                <c:pt idx="3">
                  <c:v>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B3-4DC7-B5C5-BD1F5B725F1F}"/>
            </c:ext>
          </c:extLst>
        </c:ser>
        <c:ser>
          <c:idx val="2"/>
          <c:order val="2"/>
          <c:tx>
            <c:strRef>
              <c:f>'S&amp;T graphs 2-4'!$D$38</c:f>
              <c:strCache>
                <c:ptCount val="1"/>
                <c:pt idx="0">
                  <c:v>2023–24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graphs 2-4'!$A$39:$A$42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'S&amp;T graphs 2-4'!$D$39:$D$42</c:f>
              <c:numCache>
                <c:formatCode>#,##0.0</c:formatCode>
                <c:ptCount val="4"/>
                <c:pt idx="0">
                  <c:v>329.1</c:v>
                </c:pt>
                <c:pt idx="1">
                  <c:v>780.8</c:v>
                </c:pt>
                <c:pt idx="2">
                  <c:v>471.6</c:v>
                </c:pt>
                <c:pt idx="3">
                  <c:v>72.8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B3-4DC7-B5C5-BD1F5B725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13919608"/>
        <c:axId val="613919248"/>
      </c:barChart>
      <c:catAx>
        <c:axId val="61391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13919248"/>
        <c:crosses val="autoZero"/>
        <c:auto val="1"/>
        <c:lblAlgn val="ctr"/>
        <c:lblOffset val="100"/>
        <c:noMultiLvlLbl val="0"/>
      </c:catAx>
      <c:valAx>
        <c:axId val="61391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1.9937718179176112E-2"/>
              <c:y val="2.29239574219889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1391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94866155210275"/>
          <c:y val="5.5914865187306123E-2"/>
          <c:w val="0.17380446194225718"/>
          <c:h val="0.19452273920305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252187226596669E-2"/>
          <c:y val="0.1111111111111111"/>
          <c:w val="0.89519225721784779"/>
          <c:h val="0.668646419197600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'S&amp;T graphs 2-4'!$B$53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graphs 2-4'!$A$54:$A$61</c:f>
              <c:strCache>
                <c:ptCount val="8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Multi-arts festivals</c:v>
                </c:pt>
                <c:pt idx="7">
                  <c:v>Arts administration</c:v>
                </c:pt>
              </c:strCache>
            </c:strRef>
          </c:cat>
          <c:val>
            <c:numRef>
              <c:f>'S&amp;T graphs 2-4'!$B$54:$B$61</c:f>
              <c:numCache>
                <c:formatCode>#,##0.0</c:formatCode>
                <c:ptCount val="8"/>
                <c:pt idx="0">
                  <c:v>108.7</c:v>
                </c:pt>
                <c:pt idx="1">
                  <c:v>510.9</c:v>
                </c:pt>
                <c:pt idx="2">
                  <c:v>73.2</c:v>
                </c:pt>
                <c:pt idx="3">
                  <c:v>61.1</c:v>
                </c:pt>
                <c:pt idx="4">
                  <c:v>161.6</c:v>
                </c:pt>
                <c:pt idx="5">
                  <c:v>176.2</c:v>
                </c:pt>
                <c:pt idx="6">
                  <c:v>99.5</c:v>
                </c:pt>
                <c:pt idx="7">
                  <c:v>89.3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8-4135-A051-6A21BD4A73A8}"/>
            </c:ext>
          </c:extLst>
        </c:ser>
        <c:ser>
          <c:idx val="1"/>
          <c:order val="1"/>
          <c:tx>
            <c:strRef>
              <c:f>'S&amp;T graphs 2-4'!$C$53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graphs 2-4'!$A$54:$A$61</c:f>
              <c:strCache>
                <c:ptCount val="8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Multi-arts festivals</c:v>
                </c:pt>
                <c:pt idx="7">
                  <c:v>Arts administration</c:v>
                </c:pt>
              </c:strCache>
            </c:strRef>
          </c:cat>
          <c:val>
            <c:numRef>
              <c:f>'S&amp;T graphs 2-4'!$C$54:$C$61</c:f>
              <c:numCache>
                <c:formatCode>#,##0.0</c:formatCode>
                <c:ptCount val="8"/>
                <c:pt idx="0">
                  <c:v>197.8</c:v>
                </c:pt>
                <c:pt idx="1">
                  <c:v>464.8</c:v>
                </c:pt>
                <c:pt idx="2">
                  <c:v>52.3</c:v>
                </c:pt>
                <c:pt idx="3">
                  <c:v>67.2</c:v>
                </c:pt>
                <c:pt idx="4">
                  <c:v>175.4</c:v>
                </c:pt>
                <c:pt idx="5">
                  <c:v>184.5</c:v>
                </c:pt>
                <c:pt idx="6">
                  <c:v>110.4</c:v>
                </c:pt>
                <c:pt idx="7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B8-4135-A051-6A21BD4A73A8}"/>
            </c:ext>
          </c:extLst>
        </c:ser>
        <c:ser>
          <c:idx val="2"/>
          <c:order val="2"/>
          <c:tx>
            <c:strRef>
              <c:f>'S&amp;T graphs 2-4'!$D$53</c:f>
              <c:strCache>
                <c:ptCount val="1"/>
                <c:pt idx="0">
                  <c:v>2023–24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graphs 2-4'!$A$54:$A$61</c:f>
              <c:strCache>
                <c:ptCount val="8"/>
                <c:pt idx="0">
                  <c:v>Music </c:v>
                </c:pt>
                <c:pt idx="1">
                  <c:v>Performing arts venues</c:v>
                </c:pt>
                <c:pt idx="2">
                  <c:v>Cross-art form</c:v>
                </c:pt>
                <c:pt idx="3">
                  <c:v>Visual arts &amp; crafts</c:v>
                </c:pt>
                <c:pt idx="4">
                  <c:v>Film &amp; video production &amp; distribution</c:v>
                </c:pt>
                <c:pt idx="5">
                  <c:v>Arts education</c:v>
                </c:pt>
                <c:pt idx="6">
                  <c:v>Multi-arts festivals</c:v>
                </c:pt>
                <c:pt idx="7">
                  <c:v>Arts administration</c:v>
                </c:pt>
              </c:strCache>
            </c:strRef>
          </c:cat>
          <c:val>
            <c:numRef>
              <c:f>'S&amp;T graphs 2-4'!$D$54:$D$61</c:f>
              <c:numCache>
                <c:formatCode>#,##0.0</c:formatCode>
                <c:ptCount val="8"/>
                <c:pt idx="0">
                  <c:v>102.4</c:v>
                </c:pt>
                <c:pt idx="1">
                  <c:v>477.2</c:v>
                </c:pt>
                <c:pt idx="2">
                  <c:v>210.7</c:v>
                </c:pt>
                <c:pt idx="3">
                  <c:v>88.2</c:v>
                </c:pt>
                <c:pt idx="4">
                  <c:v>228.6</c:v>
                </c:pt>
                <c:pt idx="5">
                  <c:v>107.9</c:v>
                </c:pt>
                <c:pt idx="6">
                  <c:v>98.2</c:v>
                </c:pt>
                <c:pt idx="7">
                  <c:v>130.5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B8-4135-A051-6A21BD4A7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13919608"/>
        <c:axId val="613919248"/>
      </c:barChart>
      <c:catAx>
        <c:axId val="61391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13919248"/>
        <c:crosses val="autoZero"/>
        <c:auto val="1"/>
        <c:lblAlgn val="ctr"/>
        <c:lblOffset val="100"/>
        <c:noMultiLvlLbl val="0"/>
      </c:catAx>
      <c:valAx>
        <c:axId val="61391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1.9937718179176112E-2"/>
              <c:y val="2.29239574219889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1391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948667965982133"/>
          <c:y val="4.0877390326209226E-2"/>
          <c:w val="0.14237914713554667"/>
          <c:h val="0.19452273920305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950221952577617"/>
          <c:y val="5.0925925925925923E-2"/>
          <c:w val="0.65344686752100767"/>
          <c:h val="0.800007290755322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'S&amp;T graphs 2-4'!$B$67</c:f>
              <c:strCache>
                <c:ptCount val="1"/>
                <c:pt idx="0">
                  <c:v>2023–24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graphs 2-4'!$A$68:$A$75</c:f>
              <c:strCache>
                <c:ptCount val="8"/>
                <c:pt idx="0">
                  <c:v>Arts administration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'S&amp;T graphs 2-4'!$B$68:$B$75</c:f>
              <c:numCache>
                <c:formatCode>#,##0.0</c:formatCode>
                <c:ptCount val="8"/>
                <c:pt idx="0">
                  <c:v>128.5</c:v>
                </c:pt>
                <c:pt idx="1">
                  <c:v>104.3</c:v>
                </c:pt>
                <c:pt idx="2">
                  <c:v>204.2</c:v>
                </c:pt>
                <c:pt idx="3">
                  <c:v>220.6</c:v>
                </c:pt>
                <c:pt idx="4">
                  <c:v>102.4</c:v>
                </c:pt>
                <c:pt idx="5">
                  <c:v>431.8</c:v>
                </c:pt>
                <c:pt idx="6">
                  <c:v>411.4</c:v>
                </c:pt>
                <c:pt idx="7">
                  <c:v>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1-49A3-AB55-82D9A3866026}"/>
            </c:ext>
          </c:extLst>
        </c:ser>
        <c:ser>
          <c:idx val="1"/>
          <c:order val="1"/>
          <c:tx>
            <c:strRef>
              <c:f>'S&amp;T graphs 2-4'!$C$67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graphs 2-4'!$A$68:$A$75</c:f>
              <c:strCache>
                <c:ptCount val="8"/>
                <c:pt idx="0">
                  <c:v>Arts administration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'S&amp;T graphs 2-4'!$C$68:$C$75</c:f>
              <c:numCache>
                <c:formatCode>#,##0.0</c:formatCode>
                <c:ptCount val="8"/>
                <c:pt idx="0">
                  <c:v>87.9</c:v>
                </c:pt>
                <c:pt idx="1">
                  <c:v>183.9</c:v>
                </c:pt>
                <c:pt idx="2">
                  <c:v>169.2</c:v>
                </c:pt>
                <c:pt idx="3">
                  <c:v>215.7</c:v>
                </c:pt>
                <c:pt idx="4">
                  <c:v>197.2</c:v>
                </c:pt>
                <c:pt idx="5">
                  <c:v>399.6</c:v>
                </c:pt>
                <c:pt idx="6">
                  <c:v>428.5</c:v>
                </c:pt>
                <c:pt idx="7">
                  <c:v>247.7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91-49A3-AB55-82D9A3866026}"/>
            </c:ext>
          </c:extLst>
        </c:ser>
        <c:ser>
          <c:idx val="2"/>
          <c:order val="2"/>
          <c:tx>
            <c:strRef>
              <c:f>'S&amp;T graphs 2-4'!$D$67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graphs 2-4'!$A$68:$A$75</c:f>
              <c:strCache>
                <c:ptCount val="8"/>
                <c:pt idx="0">
                  <c:v>Arts administration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'S&amp;T graphs 2-4'!$D$68:$D$75</c:f>
              <c:numCache>
                <c:formatCode>#,##0.0</c:formatCode>
                <c:ptCount val="8"/>
                <c:pt idx="0">
                  <c:v>80.7</c:v>
                </c:pt>
                <c:pt idx="1">
                  <c:v>175.5</c:v>
                </c:pt>
                <c:pt idx="2">
                  <c:v>119.7</c:v>
                </c:pt>
                <c:pt idx="3">
                  <c:v>277.5</c:v>
                </c:pt>
                <c:pt idx="4">
                  <c:v>106.5</c:v>
                </c:pt>
                <c:pt idx="5">
                  <c:v>409.3</c:v>
                </c:pt>
                <c:pt idx="6">
                  <c:v>399.9</c:v>
                </c:pt>
                <c:pt idx="7">
                  <c:v>254.3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91-49A3-AB55-82D9A3866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53539328"/>
        <c:axId val="653539688"/>
      </c:barChart>
      <c:catAx>
        <c:axId val="65353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3539688"/>
        <c:crosses val="autoZero"/>
        <c:auto val="1"/>
        <c:lblAlgn val="ctr"/>
        <c:lblOffset val="100"/>
        <c:noMultiLvlLbl val="0"/>
      </c:catAx>
      <c:valAx>
        <c:axId val="653539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165890847900547"/>
              <c:y val="0.920347039953339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35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562215813620346"/>
          <c:y val="0.4635411198600175"/>
          <c:w val="0.11935081103561763"/>
          <c:h val="0.175347769028871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36482939632546E-2"/>
          <c:y val="0.10648148148148148"/>
          <c:w val="0.89030796150481195"/>
          <c:h val="0.78802967337416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'S&amp;T graphs 5-6'!$B$36</c:f>
              <c:strCache>
                <c:ptCount val="1"/>
                <c:pt idx="0">
                  <c:v>Heritage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graphs 5-6'!$A$37:$A$44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5-6'!$B$37:$B$44</c:f>
              <c:numCache>
                <c:formatCode>#,##0.0</c:formatCode>
                <c:ptCount val="8"/>
                <c:pt idx="0">
                  <c:v>321.42200000000003</c:v>
                </c:pt>
                <c:pt idx="1">
                  <c:v>279.154</c:v>
                </c:pt>
                <c:pt idx="2">
                  <c:v>237.16200000000001</c:v>
                </c:pt>
                <c:pt idx="3">
                  <c:v>83.241</c:v>
                </c:pt>
                <c:pt idx="4">
                  <c:v>139.19200000000001</c:v>
                </c:pt>
                <c:pt idx="5">
                  <c:v>63.453000000000003</c:v>
                </c:pt>
                <c:pt idx="6">
                  <c:v>43.463999999999999</c:v>
                </c:pt>
                <c:pt idx="7">
                  <c:v>38.972999999999999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2B-4BBE-9153-CE26790B4051}"/>
            </c:ext>
          </c:extLst>
        </c:ser>
        <c:ser>
          <c:idx val="1"/>
          <c:order val="1"/>
          <c:tx>
            <c:strRef>
              <c:f>'S&amp;T graphs 5-6'!$C$36</c:f>
              <c:strCache>
                <c:ptCount val="1"/>
                <c:pt idx="0">
                  <c:v>Arts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graphs 5-6'!$A$37:$A$44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5-6'!$C$37:$C$44</c:f>
              <c:numCache>
                <c:formatCode>#,##0.0</c:formatCode>
                <c:ptCount val="8"/>
                <c:pt idx="0">
                  <c:v>307.89100000000002</c:v>
                </c:pt>
                <c:pt idx="1">
                  <c:v>290.89600000000002</c:v>
                </c:pt>
                <c:pt idx="2">
                  <c:v>231.96199999999999</c:v>
                </c:pt>
                <c:pt idx="3">
                  <c:v>116.459</c:v>
                </c:pt>
                <c:pt idx="4">
                  <c:v>166.75899999999999</c:v>
                </c:pt>
                <c:pt idx="5">
                  <c:v>23.613</c:v>
                </c:pt>
                <c:pt idx="6">
                  <c:v>29.585000000000001</c:v>
                </c:pt>
                <c:pt idx="7">
                  <c:v>46.624000000000002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2B-4BBE-9153-CE26790B4051}"/>
            </c:ext>
          </c:extLst>
        </c:ser>
        <c:ser>
          <c:idx val="2"/>
          <c:order val="2"/>
          <c:tx>
            <c:strRef>
              <c:f>'S&amp;T graphs 5-6'!$D$36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graphs 5-6'!$A$37:$A$44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5-6'!$D$37:$D$44</c:f>
              <c:numCache>
                <c:formatCode>#,##0.0</c:formatCode>
                <c:ptCount val="8"/>
                <c:pt idx="0">
                  <c:v>629.31299999999999</c:v>
                </c:pt>
                <c:pt idx="1">
                  <c:v>570.04999999999995</c:v>
                </c:pt>
                <c:pt idx="2">
                  <c:v>469.12400000000002</c:v>
                </c:pt>
                <c:pt idx="3">
                  <c:v>199.7</c:v>
                </c:pt>
                <c:pt idx="4" formatCode="0.0">
                  <c:v>305.95100000000002</c:v>
                </c:pt>
                <c:pt idx="5">
                  <c:v>87.066000000000003</c:v>
                </c:pt>
                <c:pt idx="6">
                  <c:v>73.049000000000007</c:v>
                </c:pt>
                <c:pt idx="7">
                  <c:v>85.596999999999994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2B-4BBE-9153-CE26790B4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57985784"/>
        <c:axId val="657989024"/>
      </c:barChart>
      <c:catAx>
        <c:axId val="65798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7989024"/>
        <c:crosses val="autoZero"/>
        <c:auto val="1"/>
        <c:lblAlgn val="ctr"/>
        <c:lblOffset val="100"/>
        <c:noMultiLvlLbl val="0"/>
      </c:catAx>
      <c:valAx>
        <c:axId val="65798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2.187335958005249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798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54720034995627"/>
          <c:y val="0.10243000874890641"/>
          <c:w val="0.15994091545807068"/>
          <c:h val="0.175347769028871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36482939632546E-2"/>
          <c:y val="0.10648148148148148"/>
          <c:w val="0.89030796150481195"/>
          <c:h val="0.78802967337416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'S&amp;T graphs 5-6'!$B$54</c:f>
              <c:strCache>
                <c:ptCount val="1"/>
                <c:pt idx="0">
                  <c:v>Heritage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'S&amp;T graphs 5-6'!$A$55:$A$62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5-6'!$B$55:$B$62</c:f>
              <c:numCache>
                <c:formatCode>#,##0.0</c:formatCode>
                <c:ptCount val="8"/>
                <c:pt idx="0">
                  <c:v>333.46899999999999</c:v>
                </c:pt>
                <c:pt idx="1">
                  <c:v>25.036999999999999</c:v>
                </c:pt>
                <c:pt idx="2">
                  <c:v>31.585999999999999</c:v>
                </c:pt>
                <c:pt idx="3">
                  <c:v>17.221</c:v>
                </c:pt>
                <c:pt idx="4">
                  <c:v>26.494</c:v>
                </c:pt>
                <c:pt idx="5">
                  <c:v>1.343</c:v>
                </c:pt>
                <c:pt idx="6">
                  <c:v>4.5720059999999991</c:v>
                </c:pt>
                <c:pt idx="7">
                  <c:v>8.4610000000000003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F-412B-BE45-C4DBD3B1C9B9}"/>
            </c:ext>
          </c:extLst>
        </c:ser>
        <c:ser>
          <c:idx val="1"/>
          <c:order val="1"/>
          <c:tx>
            <c:strRef>
              <c:f>'S&amp;T graphs 5-6'!$C$54</c:f>
              <c:strCache>
                <c:ptCount val="1"/>
                <c:pt idx="0">
                  <c:v>Arts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'S&amp;T graphs 5-6'!$A$55:$A$62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5-6'!$C$55:$C$62</c:f>
              <c:numCache>
                <c:formatCode>#,##0.0</c:formatCode>
                <c:ptCount val="8"/>
                <c:pt idx="0">
                  <c:v>47.728000000000002</c:v>
                </c:pt>
                <c:pt idx="1">
                  <c:v>131.733</c:v>
                </c:pt>
                <c:pt idx="2">
                  <c:v>81.415999999999997</c:v>
                </c:pt>
                <c:pt idx="3">
                  <c:v>156.827</c:v>
                </c:pt>
                <c:pt idx="4">
                  <c:v>43.594999999999999</c:v>
                </c:pt>
                <c:pt idx="5">
                  <c:v>0</c:v>
                </c:pt>
                <c:pt idx="6">
                  <c:v>2.732564</c:v>
                </c:pt>
                <c:pt idx="7">
                  <c:v>4.4619999999999997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F-412B-BE45-C4DBD3B1C9B9}"/>
            </c:ext>
          </c:extLst>
        </c:ser>
        <c:ser>
          <c:idx val="2"/>
          <c:order val="2"/>
          <c:tx>
            <c:strRef>
              <c:f>'S&amp;T graphs 5-6'!$D$54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'S&amp;T graphs 5-6'!$A$55:$A$62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'S&amp;T graphs 5-6'!$D$55:$D$62</c:f>
              <c:numCache>
                <c:formatCode>#,##0.0</c:formatCode>
                <c:ptCount val="8"/>
                <c:pt idx="0">
                  <c:v>381.197</c:v>
                </c:pt>
                <c:pt idx="1">
                  <c:v>156.77000000000001</c:v>
                </c:pt>
                <c:pt idx="2">
                  <c:v>113.002</c:v>
                </c:pt>
                <c:pt idx="3">
                  <c:v>174.048</c:v>
                </c:pt>
                <c:pt idx="4" formatCode="0.0">
                  <c:v>70.088999999999999</c:v>
                </c:pt>
                <c:pt idx="5">
                  <c:v>1.343</c:v>
                </c:pt>
                <c:pt idx="6">
                  <c:v>7.30457</c:v>
                </c:pt>
                <c:pt idx="7">
                  <c:v>12.923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7F-412B-BE45-C4DBD3B1C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657985784"/>
        <c:axId val="657989024"/>
      </c:barChart>
      <c:catAx>
        <c:axId val="65798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7989024"/>
        <c:crosses val="autoZero"/>
        <c:auto val="1"/>
        <c:lblAlgn val="ctr"/>
        <c:lblOffset val="100"/>
        <c:noMultiLvlLbl val="0"/>
      </c:catAx>
      <c:valAx>
        <c:axId val="65798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  <a:latin typeface="Calibri" panose="020F0502020204030204" pitchFamily="34" charset="0"/>
                    <a:cs typeface="Calibri" panose="020F0502020204030204" pitchFamily="34" charset="0"/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2.187335958005249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65798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547199897981224"/>
          <c:y val="0.13080706088209562"/>
          <c:w val="0.15994091545807068"/>
          <c:h val="0.201491637074777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0CF4-EB27-4A00-8A8F-4227794D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2025-09-09T01:21:00Z</dcterms:created>
  <dcterms:modified xsi:type="dcterms:W3CDTF">2025-09-10T00:56:00Z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2025-06-27T04:48:44Z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5514ddc9-7e88-418c-b7af-2ce7de630833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