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237CF" w14:textId="07871BF3" w:rsidR="0094124E" w:rsidRDefault="00CD5C1E" w:rsidP="0094124E">
      <w:pPr>
        <w:ind w:left="-1418"/>
      </w:pPr>
      <w:r>
        <w:rPr>
          <w:noProof/>
        </w:rPr>
        <w:drawing>
          <wp:inline distT="0" distB="0" distL="0" distR="0" wp14:anchorId="0B2096A5" wp14:editId="00E7133E">
            <wp:extent cx="7645481" cy="1400175"/>
            <wp:effectExtent l="0" t="0" r="0" b="0"/>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726221" cy="1414962"/>
                    </a:xfrm>
                    <a:prstGeom prst="rect">
                      <a:avLst/>
                    </a:prstGeom>
                    <a:noFill/>
                    <a:ln>
                      <a:noFill/>
                    </a:ln>
                  </pic:spPr>
                </pic:pic>
              </a:graphicData>
            </a:graphic>
          </wp:inline>
        </w:drawing>
      </w:r>
    </w:p>
    <w:p w14:paraId="2AD3B10E" w14:textId="77777777" w:rsidR="00FC16F3" w:rsidRDefault="00FC16F3" w:rsidP="0094124E">
      <w:pPr>
        <w:ind w:left="-1418"/>
        <w:sectPr w:rsidR="00FC16F3" w:rsidSect="00477982">
          <w:headerReference w:type="even" r:id="rId10"/>
          <w:headerReference w:type="default" r:id="rId11"/>
          <w:footerReference w:type="default" r:id="rId12"/>
          <w:footerReference w:type="first" r:id="rId13"/>
          <w:type w:val="continuous"/>
          <w:pgSz w:w="11906" w:h="16838"/>
          <w:pgMar w:top="0" w:right="1440" w:bottom="1440" w:left="1440" w:header="0" w:footer="0" w:gutter="0"/>
          <w:cols w:space="708"/>
          <w:titlePg/>
          <w:docGrid w:linePitch="360"/>
        </w:sectPr>
      </w:pPr>
    </w:p>
    <w:p w14:paraId="163C2A0C" w14:textId="65EB5EEF" w:rsidR="002117E6" w:rsidRDefault="001D64AC" w:rsidP="00477982">
      <w:pPr>
        <w:pStyle w:val="Heading1"/>
      </w:pPr>
      <w:r>
        <w:t>Cultural Funding by Government</w:t>
      </w:r>
      <w:r w:rsidRPr="008A5994">
        <w:t>—</w:t>
      </w:r>
      <w:r w:rsidR="0070126E" w:rsidRPr="008A5994">
        <w:t>202</w:t>
      </w:r>
      <w:r w:rsidR="001477C2">
        <w:t>3</w:t>
      </w:r>
      <w:r w:rsidR="0070126E" w:rsidRPr="008A5994">
        <w:t>–2</w:t>
      </w:r>
      <w:r w:rsidR="001477C2">
        <w:t>4</w:t>
      </w:r>
    </w:p>
    <w:p w14:paraId="20EDBB33" w14:textId="77777777" w:rsidR="00BE717D" w:rsidRDefault="00BE717D" w:rsidP="00BE717D">
      <w:pPr>
        <w:pStyle w:val="Heading2"/>
      </w:pPr>
      <w:r>
        <w:rPr>
          <w:szCs w:val="36"/>
        </w:rPr>
        <w:t xml:space="preserve">Western Australian </w:t>
      </w:r>
      <w:r w:rsidRPr="00527D9C">
        <w:rPr>
          <w:szCs w:val="36"/>
        </w:rPr>
        <w:t>Government</w:t>
      </w:r>
    </w:p>
    <w:p w14:paraId="69008D44" w14:textId="6497DE10" w:rsidR="002B01D6" w:rsidRPr="008A5994" w:rsidRDefault="00BE717D" w:rsidP="00BE717D">
      <w:r w:rsidRPr="008A5994">
        <w:t>The estimate of expenditure funded by the Western Australian Government in 202</w:t>
      </w:r>
      <w:r w:rsidR="00DE127B">
        <w:t>3</w:t>
      </w:r>
      <w:r w:rsidRPr="008A5994">
        <w:t>–2</w:t>
      </w:r>
      <w:r w:rsidR="00DE127B">
        <w:t>4</w:t>
      </w:r>
      <w:r w:rsidRPr="008A5994">
        <w:t xml:space="preserve"> for cultural activities was </w:t>
      </w:r>
      <w:r w:rsidRPr="00156BC3">
        <w:rPr>
          <w:b/>
        </w:rPr>
        <w:t>$</w:t>
      </w:r>
      <w:r w:rsidR="00156BC3" w:rsidRPr="00156BC3">
        <w:rPr>
          <w:b/>
        </w:rPr>
        <w:t>376.0</w:t>
      </w:r>
      <w:r w:rsidR="008262C7" w:rsidRPr="00156BC3">
        <w:rPr>
          <w:b/>
        </w:rPr>
        <w:t>m</w:t>
      </w:r>
      <w:r w:rsidRPr="00156BC3">
        <w:t>, representing a</w:t>
      </w:r>
      <w:r w:rsidR="001C4A7A" w:rsidRPr="00156BC3">
        <w:t>n in</w:t>
      </w:r>
      <w:r w:rsidRPr="00156BC3">
        <w:t xml:space="preserve">crease of </w:t>
      </w:r>
      <w:r w:rsidR="00156BC3" w:rsidRPr="00156BC3">
        <w:t>7</w:t>
      </w:r>
      <w:r w:rsidRPr="00156BC3">
        <w:t>% or $</w:t>
      </w:r>
      <w:r w:rsidR="00156BC3" w:rsidRPr="00156BC3">
        <w:t>25.9</w:t>
      </w:r>
      <w:r w:rsidRPr="00156BC3">
        <w:t>m from 20</w:t>
      </w:r>
      <w:r w:rsidR="001D7FFC">
        <w:t>21</w:t>
      </w:r>
      <w:r w:rsidR="00C30956" w:rsidRPr="008A5994">
        <w:t>–</w:t>
      </w:r>
      <w:r w:rsidRPr="008A5994">
        <w:t>2</w:t>
      </w:r>
      <w:r w:rsidR="001D7FFC">
        <w:t>2</w:t>
      </w:r>
      <w:r w:rsidRPr="008A5994">
        <w:t>.</w:t>
      </w:r>
    </w:p>
    <w:p w14:paraId="5C933C5E" w14:textId="35C66265" w:rsidR="00BE717D" w:rsidRPr="00580009" w:rsidRDefault="00BE717D" w:rsidP="00BE717D">
      <w:pPr>
        <w:pStyle w:val="Tablefigureheading"/>
      </w:pPr>
      <w:r>
        <w:t xml:space="preserve">Table 1. Western Australian Government cultural </w:t>
      </w:r>
      <w:r w:rsidRPr="00580009">
        <w:t>expenditure, 20</w:t>
      </w:r>
      <w:r w:rsidR="00DE127B">
        <w:t>20</w:t>
      </w:r>
      <w:r w:rsidRPr="00580009">
        <w:t>–</w:t>
      </w:r>
      <w:r w:rsidR="00711226" w:rsidRPr="00580009">
        <w:t>2</w:t>
      </w:r>
      <w:r w:rsidR="00DE127B">
        <w:t>1</w:t>
      </w:r>
      <w:r w:rsidRPr="00580009">
        <w:t xml:space="preserve"> to 202</w:t>
      </w:r>
      <w:r w:rsidR="00DE127B">
        <w:t>3</w:t>
      </w:r>
      <w:r w:rsidRPr="00580009">
        <w:t>–2</w:t>
      </w:r>
      <w:r w:rsidR="00DE127B">
        <w:t>4</w:t>
      </w:r>
      <w:r w:rsidR="005D3E66">
        <w:rPr>
          <w:rStyle w:val="FootnoteReference"/>
        </w:rPr>
        <w:footnoteReference w:id="1"/>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1—Western Australian Government cultural expenditure, 2015–16 to 2017–18."/>
      </w:tblPr>
      <w:tblGrid>
        <w:gridCol w:w="1985"/>
        <w:gridCol w:w="1984"/>
        <w:gridCol w:w="1984"/>
      </w:tblGrid>
      <w:tr w:rsidR="00DE127B" w:rsidRPr="008A5994" w14:paraId="071791F6" w14:textId="77777777" w:rsidTr="00BE602D">
        <w:trPr>
          <w:cantSplit/>
          <w:tblHeader/>
        </w:trPr>
        <w:tc>
          <w:tcPr>
            <w:tcW w:w="1985" w:type="dxa"/>
            <w:tcBorders>
              <w:top w:val="nil"/>
              <w:left w:val="nil"/>
              <w:bottom w:val="thickThinLargeGap" w:sz="24" w:space="0" w:color="auto"/>
              <w:right w:val="nil"/>
            </w:tcBorders>
            <w:shd w:val="clear" w:color="auto" w:fill="C3AFF7"/>
          </w:tcPr>
          <w:p w14:paraId="177FB6F8" w14:textId="1F3A696B" w:rsidR="00DE127B" w:rsidRPr="008A5994" w:rsidRDefault="00DE127B" w:rsidP="00DE127B">
            <w:pPr>
              <w:pStyle w:val="Tablerowcolumnheadingcentred"/>
            </w:pPr>
            <w:r w:rsidRPr="008A5994">
              <w:t>2020–21</w:t>
            </w:r>
            <w:r w:rsidRPr="008A5994">
              <w:rPr>
                <w:rStyle w:val="FootnoteReference"/>
              </w:rPr>
              <w:footnoteReference w:id="2"/>
            </w:r>
          </w:p>
        </w:tc>
        <w:tc>
          <w:tcPr>
            <w:tcW w:w="1984" w:type="dxa"/>
            <w:tcBorders>
              <w:top w:val="nil"/>
              <w:left w:val="nil"/>
              <w:bottom w:val="thickThinLargeGap" w:sz="24" w:space="0" w:color="auto"/>
              <w:right w:val="nil"/>
            </w:tcBorders>
            <w:shd w:val="clear" w:color="auto" w:fill="C3AFF7"/>
          </w:tcPr>
          <w:p w14:paraId="199B1340" w14:textId="15EDB7B3" w:rsidR="00DE127B" w:rsidRPr="008A5994" w:rsidRDefault="00DE127B" w:rsidP="00DE127B">
            <w:pPr>
              <w:pStyle w:val="Tablerowcolumnheadingcentred"/>
            </w:pPr>
            <w:r w:rsidRPr="008A5994">
              <w:t>2021–22</w:t>
            </w:r>
            <w:r w:rsidRPr="008A5994">
              <w:rPr>
                <w:rStyle w:val="FootnoteReference"/>
              </w:rPr>
              <w:footnoteReference w:id="3"/>
            </w:r>
          </w:p>
        </w:tc>
        <w:tc>
          <w:tcPr>
            <w:tcW w:w="1984" w:type="dxa"/>
            <w:tcBorders>
              <w:top w:val="nil"/>
              <w:left w:val="nil"/>
              <w:bottom w:val="thickThinLargeGap" w:sz="24" w:space="0" w:color="auto"/>
              <w:right w:val="nil"/>
            </w:tcBorders>
            <w:shd w:val="clear" w:color="auto" w:fill="C3AFF7"/>
          </w:tcPr>
          <w:p w14:paraId="6D3E38D7" w14:textId="7A7F6722" w:rsidR="00DE127B" w:rsidRPr="008A5994" w:rsidRDefault="00DE127B" w:rsidP="00DE127B">
            <w:pPr>
              <w:pStyle w:val="Tablerowcolumnheadingcentred"/>
            </w:pPr>
            <w:r w:rsidRPr="008A5994">
              <w:t>202</w:t>
            </w:r>
            <w:r w:rsidR="00DE5C3E">
              <w:t>3</w:t>
            </w:r>
            <w:r w:rsidRPr="008A5994">
              <w:t>–2</w:t>
            </w:r>
            <w:r w:rsidR="00DE5C3E">
              <w:t>4</w:t>
            </w:r>
          </w:p>
        </w:tc>
      </w:tr>
      <w:tr w:rsidR="00DE127B" w:rsidRPr="008A5994" w14:paraId="141FBA98" w14:textId="77777777" w:rsidTr="00BE602D">
        <w:trPr>
          <w:cantSplit/>
        </w:trPr>
        <w:tc>
          <w:tcPr>
            <w:tcW w:w="1985" w:type="dxa"/>
            <w:tcBorders>
              <w:top w:val="single" w:sz="4" w:space="0" w:color="auto"/>
              <w:left w:val="nil"/>
              <w:bottom w:val="single" w:sz="12" w:space="0" w:color="auto"/>
              <w:right w:val="nil"/>
            </w:tcBorders>
          </w:tcPr>
          <w:p w14:paraId="2E47359A" w14:textId="43840C87" w:rsidR="00DE127B" w:rsidRPr="008A5994" w:rsidRDefault="00DE5C3E" w:rsidP="00DE127B">
            <w:pPr>
              <w:pStyle w:val="Tabletextcentred"/>
            </w:pPr>
            <w:r w:rsidRPr="008A5994">
              <w:t xml:space="preserve">$294.9m </w:t>
            </w:r>
            <w:r w:rsidR="00DE127B" w:rsidRPr="008A5994">
              <w:t xml:space="preserve"> </w:t>
            </w:r>
          </w:p>
        </w:tc>
        <w:tc>
          <w:tcPr>
            <w:tcW w:w="1984" w:type="dxa"/>
            <w:tcBorders>
              <w:top w:val="single" w:sz="4" w:space="0" w:color="auto"/>
              <w:left w:val="nil"/>
              <w:bottom w:val="single" w:sz="12" w:space="0" w:color="auto"/>
              <w:right w:val="nil"/>
            </w:tcBorders>
          </w:tcPr>
          <w:p w14:paraId="7CE0275D" w14:textId="1C4C04EC" w:rsidR="00DE127B" w:rsidRPr="008A5994" w:rsidRDefault="00DE5C3E" w:rsidP="00DE127B">
            <w:pPr>
              <w:pStyle w:val="Tabletextcentred"/>
            </w:pPr>
            <w:r w:rsidRPr="008A5994">
              <w:t>$350.</w:t>
            </w:r>
            <w:r>
              <w:t>1</w:t>
            </w:r>
            <w:r w:rsidRPr="008A5994">
              <w:t>m ↑19%</w:t>
            </w:r>
          </w:p>
        </w:tc>
        <w:tc>
          <w:tcPr>
            <w:tcW w:w="1984" w:type="dxa"/>
            <w:tcBorders>
              <w:top w:val="single" w:sz="4" w:space="0" w:color="auto"/>
              <w:left w:val="nil"/>
              <w:bottom w:val="single" w:sz="12" w:space="0" w:color="auto"/>
              <w:right w:val="nil"/>
            </w:tcBorders>
          </w:tcPr>
          <w:p w14:paraId="3E53137F" w14:textId="616BF30F" w:rsidR="00DE127B" w:rsidRPr="008A5994" w:rsidRDefault="00156BC3" w:rsidP="00DE127B">
            <w:pPr>
              <w:pStyle w:val="Tabletextcentred"/>
            </w:pPr>
            <w:r w:rsidRPr="008A5994">
              <w:t>$3</w:t>
            </w:r>
            <w:r>
              <w:t>76</w:t>
            </w:r>
            <w:r w:rsidRPr="008A5994">
              <w:t>.</w:t>
            </w:r>
            <w:r>
              <w:t>0</w:t>
            </w:r>
            <w:r w:rsidRPr="008A5994">
              <w:t>m ↑</w:t>
            </w:r>
            <w:r>
              <w:t>7</w:t>
            </w:r>
            <w:r w:rsidRPr="008A5994">
              <w:t>%</w:t>
            </w:r>
          </w:p>
        </w:tc>
      </w:tr>
    </w:tbl>
    <w:p w14:paraId="20460953" w14:textId="2FBB56A0" w:rsidR="00BE717D" w:rsidRPr="00A93B7A" w:rsidRDefault="00BE717D" w:rsidP="00BE717D">
      <w:pPr>
        <w:pStyle w:val="ListParagraph"/>
        <w:numPr>
          <w:ilvl w:val="0"/>
          <w:numId w:val="6"/>
        </w:numPr>
        <w:spacing w:before="360"/>
        <w:ind w:left="567" w:hanging="567"/>
      </w:pPr>
      <w:r w:rsidRPr="00A93B7A">
        <w:t xml:space="preserve">Recurrent expenses accounted for </w:t>
      </w:r>
      <w:r w:rsidR="00A93B7A" w:rsidRPr="00A93B7A">
        <w:t>81</w:t>
      </w:r>
      <w:r w:rsidRPr="00A93B7A">
        <w:t>% ($</w:t>
      </w:r>
      <w:r w:rsidR="00A93B7A" w:rsidRPr="00A93B7A">
        <w:t>306.0</w:t>
      </w:r>
      <w:r w:rsidRPr="00A93B7A">
        <w:t>m) of funded cultural expenditure.</w:t>
      </w:r>
    </w:p>
    <w:p w14:paraId="39E08028" w14:textId="603A5401" w:rsidR="00BE717D" w:rsidRPr="008A5994" w:rsidRDefault="00BE717D" w:rsidP="00BE717D">
      <w:pPr>
        <w:pStyle w:val="ListParagraph"/>
        <w:numPr>
          <w:ilvl w:val="0"/>
          <w:numId w:val="6"/>
        </w:numPr>
        <w:ind w:left="567" w:hanging="567"/>
      </w:pPr>
      <w:r w:rsidRPr="008A5994">
        <w:t xml:space="preserve">Capital </w:t>
      </w:r>
      <w:r w:rsidR="00DD6058">
        <w:t>expenses</w:t>
      </w:r>
      <w:r w:rsidR="00DD6058" w:rsidRPr="008A5994">
        <w:t xml:space="preserve"> </w:t>
      </w:r>
      <w:r w:rsidR="00DD6058">
        <w:t xml:space="preserve">accounted for 19% ($70.1m) of funded cultural expenditure. </w:t>
      </w:r>
      <w:r w:rsidR="00307062">
        <w:t>T</w:t>
      </w:r>
      <w:r w:rsidR="00A93B7A" w:rsidRPr="00A93B7A">
        <w:t>he</w:t>
      </w:r>
      <w:r w:rsidRPr="00A93B7A">
        <w:t xml:space="preserve"> largest categor</w:t>
      </w:r>
      <w:r w:rsidR="00A93B7A" w:rsidRPr="00A93B7A">
        <w:t>ies were</w:t>
      </w:r>
      <w:r w:rsidRPr="00A93B7A">
        <w:t xml:space="preserve"> </w:t>
      </w:r>
      <w:r w:rsidRPr="00A93B7A">
        <w:rPr>
          <w:i/>
        </w:rPr>
        <w:t>Other museums and cultural heritage</w:t>
      </w:r>
      <w:r w:rsidRPr="00A93B7A">
        <w:t xml:space="preserve"> ($</w:t>
      </w:r>
      <w:r w:rsidR="00A93B7A">
        <w:t>25.1</w:t>
      </w:r>
      <w:r w:rsidRPr="00A93B7A">
        <w:t>m)</w:t>
      </w:r>
      <w:r w:rsidR="00A93B7A" w:rsidRPr="00A93B7A">
        <w:t xml:space="preserve"> and </w:t>
      </w:r>
      <w:r w:rsidR="00A93B7A" w:rsidRPr="00A93B7A">
        <w:rPr>
          <w:i/>
          <w:iCs/>
        </w:rPr>
        <w:t>Film and video production and distribution</w:t>
      </w:r>
      <w:r w:rsidR="00A93B7A" w:rsidRPr="00A93B7A">
        <w:t xml:space="preserve"> ($</w:t>
      </w:r>
      <w:r w:rsidR="00A93B7A">
        <w:t>23.3</w:t>
      </w:r>
      <w:r w:rsidR="00A93B7A" w:rsidRPr="00A93B7A">
        <w:t>m)</w:t>
      </w:r>
      <w:r w:rsidR="003502F6" w:rsidRPr="00A93B7A">
        <w:t>.</w:t>
      </w:r>
    </w:p>
    <w:p w14:paraId="74A1518D" w14:textId="6AABBB5E" w:rsidR="00BE717D" w:rsidRPr="008A5994" w:rsidRDefault="00BE717D" w:rsidP="00BE717D">
      <w:pPr>
        <w:pStyle w:val="ListParagraph"/>
        <w:numPr>
          <w:ilvl w:val="0"/>
          <w:numId w:val="6"/>
        </w:numPr>
        <w:ind w:left="567" w:hanging="567"/>
      </w:pPr>
      <w:r w:rsidRPr="008A5994">
        <w:t>The estimate of per person fun</w:t>
      </w:r>
      <w:r w:rsidRPr="00A93B7A">
        <w:t>ding was $</w:t>
      </w:r>
      <w:r w:rsidR="00A93B7A" w:rsidRPr="00A93B7A">
        <w:t>128.39</w:t>
      </w:r>
      <w:r w:rsidRPr="00A93B7A">
        <w:t>.</w:t>
      </w:r>
    </w:p>
    <w:p w14:paraId="1D9A6E7E" w14:textId="27F13A84" w:rsidR="00BE717D" w:rsidRPr="008A5994" w:rsidRDefault="00BE717D" w:rsidP="001C4A7A">
      <w:pPr>
        <w:spacing w:after="0"/>
      </w:pPr>
      <w:r w:rsidRPr="00055501">
        <w:t xml:space="preserve">Funds </w:t>
      </w:r>
      <w:r w:rsidR="00B93E30" w:rsidRPr="00055501">
        <w:t>for</w:t>
      </w:r>
      <w:r w:rsidR="009B3B88" w:rsidRPr="00055501">
        <w:t xml:space="preserve"> Total</w:t>
      </w:r>
      <w:r w:rsidRPr="00055501">
        <w:t xml:space="preserve"> </w:t>
      </w:r>
      <w:r w:rsidRPr="004313DA">
        <w:rPr>
          <w:b/>
          <w:bCs/>
          <w:i/>
        </w:rPr>
        <w:t>Heritage</w:t>
      </w:r>
      <w:r w:rsidRPr="00055501">
        <w:t xml:space="preserve"> activities</w:t>
      </w:r>
      <w:r w:rsidR="009B3B88" w:rsidRPr="00055501">
        <w:t xml:space="preserve"> (recurrent and capital)</w:t>
      </w:r>
      <w:r w:rsidRPr="00055501">
        <w:t xml:space="preserve"> </w:t>
      </w:r>
      <w:r w:rsidR="00055501" w:rsidRPr="00055501">
        <w:t>decreased</w:t>
      </w:r>
      <w:r w:rsidR="008262C7" w:rsidRPr="00055501">
        <w:t xml:space="preserve"> by </w:t>
      </w:r>
      <w:r w:rsidR="00055501" w:rsidRPr="00055501">
        <w:t>7</w:t>
      </w:r>
      <w:r w:rsidRPr="00055501">
        <w:t>% (or $</w:t>
      </w:r>
      <w:r w:rsidR="00055501" w:rsidRPr="00055501">
        <w:t>11.9</w:t>
      </w:r>
      <w:r w:rsidRPr="00055501">
        <w:t>m) to $</w:t>
      </w:r>
      <w:r w:rsidR="00055501" w:rsidRPr="00055501">
        <w:t>165.7</w:t>
      </w:r>
      <w:r w:rsidRPr="00055501">
        <w:t>m.</w:t>
      </w:r>
    </w:p>
    <w:p w14:paraId="270F6503" w14:textId="77777777" w:rsidR="001C4A7A" w:rsidRPr="008A5994" w:rsidRDefault="001C4A7A" w:rsidP="001C4A7A">
      <w:pPr>
        <w:spacing w:after="0"/>
      </w:pPr>
    </w:p>
    <w:p w14:paraId="488D8AF3" w14:textId="73B88756" w:rsidR="00BE717D" w:rsidRPr="008A5994" w:rsidRDefault="00055501" w:rsidP="00BE717D">
      <w:r w:rsidRPr="00055501">
        <w:t>The largest proportion (65%)</w:t>
      </w:r>
      <w:r w:rsidR="00BE717D" w:rsidRPr="00055501">
        <w:t xml:space="preserve"> of </w:t>
      </w:r>
      <w:r w:rsidR="00BE717D" w:rsidRPr="00055501">
        <w:rPr>
          <w:i/>
        </w:rPr>
        <w:t>Heritage</w:t>
      </w:r>
      <w:r w:rsidR="00BE717D" w:rsidRPr="00055501">
        <w:t xml:space="preserve"> funds were spent on </w:t>
      </w:r>
      <w:r w:rsidR="00BE717D" w:rsidRPr="00055501">
        <w:rPr>
          <w:i/>
        </w:rPr>
        <w:t xml:space="preserve">Other museums and cultural heritage </w:t>
      </w:r>
      <w:r w:rsidR="00BE717D" w:rsidRPr="00055501">
        <w:t>($</w:t>
      </w:r>
      <w:r w:rsidR="008262C7" w:rsidRPr="00055501">
        <w:t>1</w:t>
      </w:r>
      <w:r w:rsidRPr="00055501">
        <w:t>08.5</w:t>
      </w:r>
      <w:r w:rsidR="008262C7" w:rsidRPr="00055501">
        <w:t>m</w:t>
      </w:r>
      <w:r w:rsidR="00BE717D" w:rsidRPr="00055501">
        <w:t>)</w:t>
      </w:r>
      <w:r w:rsidR="00BE717D" w:rsidRPr="00055501">
        <w:rPr>
          <w:i/>
        </w:rPr>
        <w:t xml:space="preserve"> </w:t>
      </w:r>
      <w:r w:rsidRPr="00055501">
        <w:t>followed by</w:t>
      </w:r>
      <w:r w:rsidR="00BE717D" w:rsidRPr="00055501">
        <w:t xml:space="preserve"> </w:t>
      </w:r>
      <w:r w:rsidR="00BE717D" w:rsidRPr="00055501">
        <w:rPr>
          <w:i/>
        </w:rPr>
        <w:t>Libraries</w:t>
      </w:r>
      <w:r w:rsidR="00BE717D" w:rsidRPr="00055501">
        <w:t xml:space="preserve"> (</w:t>
      </w:r>
      <w:r w:rsidRPr="00055501">
        <w:t xml:space="preserve">19%, </w:t>
      </w:r>
      <w:r w:rsidR="00BE717D" w:rsidRPr="00055501">
        <w:t>$</w:t>
      </w:r>
      <w:r w:rsidRPr="00055501">
        <w:t>30.9</w:t>
      </w:r>
      <w:r w:rsidR="001C4A7A" w:rsidRPr="00055501">
        <w:t>m</w:t>
      </w:r>
      <w:r w:rsidR="00BE717D" w:rsidRPr="00055501">
        <w:t>)</w:t>
      </w:r>
      <w:r w:rsidR="003559B3">
        <w:t>,</w:t>
      </w:r>
      <w:r w:rsidRPr="00055501">
        <w:t xml:space="preserve"> </w:t>
      </w:r>
      <w:r w:rsidRPr="00055501">
        <w:rPr>
          <w:i/>
          <w:iCs/>
        </w:rPr>
        <w:t>Art museums</w:t>
      </w:r>
      <w:r w:rsidRPr="00055501">
        <w:t xml:space="preserve"> (15%, $24.9m)</w:t>
      </w:r>
      <w:r w:rsidR="00207B18">
        <w:t xml:space="preserve"> and </w:t>
      </w:r>
      <w:r w:rsidR="00207B18" w:rsidRPr="004313DA">
        <w:rPr>
          <w:i/>
          <w:iCs/>
        </w:rPr>
        <w:t>Archives</w:t>
      </w:r>
      <w:r w:rsidR="00207B18">
        <w:t xml:space="preserve"> (</w:t>
      </w:r>
      <w:r w:rsidR="003513E1">
        <w:t xml:space="preserve">1%, </w:t>
      </w:r>
      <w:r w:rsidR="003559B3">
        <w:t>$1.4m)</w:t>
      </w:r>
      <w:r w:rsidR="00307062">
        <w:t>.</w:t>
      </w:r>
    </w:p>
    <w:p w14:paraId="79186870" w14:textId="2CAAD185" w:rsidR="00BE717D" w:rsidRDefault="00BE717D" w:rsidP="00BE717D">
      <w:pPr>
        <w:pStyle w:val="Tablefigureheading"/>
      </w:pPr>
      <w:bookmarkStart w:id="0" w:name="_Toc524533023"/>
      <w:r w:rsidRPr="00303AC1">
        <w:t xml:space="preserve">Figure 1. </w:t>
      </w:r>
      <w:r>
        <w:t>Western Australian</w:t>
      </w:r>
      <w:r w:rsidRPr="00303AC1">
        <w:t xml:space="preserve"> Government heritage expenditure</w:t>
      </w:r>
      <w:bookmarkEnd w:id="0"/>
      <w:r w:rsidR="008A5994">
        <w:t xml:space="preserve"> (recurrent and capital)</w:t>
      </w:r>
    </w:p>
    <w:p w14:paraId="5EF59B7D" w14:textId="4479054C" w:rsidR="009701FC" w:rsidRPr="009701FC" w:rsidRDefault="00C70887" w:rsidP="009701FC">
      <w:pPr>
        <w:rPr>
          <w:lang w:eastAsia="en-US"/>
        </w:rPr>
      </w:pPr>
      <w:r>
        <w:rPr>
          <w:noProof/>
        </w:rPr>
        <w:drawing>
          <wp:inline distT="0" distB="0" distL="0" distR="0" wp14:anchorId="01618162" wp14:editId="09B82D16">
            <wp:extent cx="5537200" cy="2238451"/>
            <wp:effectExtent l="0" t="0" r="6350" b="0"/>
            <wp:docPr id="764889308" name="Chart 1" descr="Figure 1. Western Australian Government heritage expenditure (recurrent and capital).&#10;A column graph compares expenditure across the heritage categories of Art museums, Other museums and cultural heritage, Libraries and Archives between the financial years of 2020-21, 2021-22 and 2023-24 for the Western Australian Government.&#10;2020-21: Art museums $11.9m, Other museums &amp; cultural heritage $111.5m, Libraries $33.1m, Archives $1.2m.&#10;2021-22: Art museums $15.3m, Other museums &amp; cultural heritage $131.0m, Libraries $29.9m, Archives $1.5m.&#10;2023-24: Art museums $24.9m, Other museums &amp; cultural heritage $108.5m, Libraries $30.9m, Archives $1.4m.">
              <a:extLst xmlns:a="http://schemas.openxmlformats.org/drawingml/2006/main">
                <a:ext uri="{FF2B5EF4-FFF2-40B4-BE49-F238E27FC236}">
                  <a16:creationId xmlns:a16="http://schemas.microsoft.com/office/drawing/2014/main" id="{85F5B7E6-B69B-4C00-AD48-2BF027EB0E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49B31E" w14:textId="7C99E68F" w:rsidR="00BE717D" w:rsidRPr="008A5994" w:rsidRDefault="00BE717D" w:rsidP="00BE717D">
      <w:r w:rsidRPr="008A5994">
        <w:t>Funds for</w:t>
      </w:r>
      <w:r w:rsidR="005D5319" w:rsidRPr="008A5994">
        <w:t xml:space="preserve"> Total</w:t>
      </w:r>
      <w:r w:rsidRPr="008A5994">
        <w:t xml:space="preserve"> </w:t>
      </w:r>
      <w:r w:rsidRPr="004313DA">
        <w:rPr>
          <w:b/>
          <w:bCs/>
          <w:i/>
        </w:rPr>
        <w:t>Arts</w:t>
      </w:r>
      <w:r w:rsidRPr="008A5994">
        <w:t xml:space="preserve"> activities</w:t>
      </w:r>
      <w:r w:rsidR="005D5319" w:rsidRPr="008A5994">
        <w:t xml:space="preserve"> (recurrent and capital</w:t>
      </w:r>
      <w:r w:rsidR="005D5319" w:rsidRPr="00C70887">
        <w:t>)</w:t>
      </w:r>
      <w:r w:rsidRPr="00C70887">
        <w:t xml:space="preserve"> increased </w:t>
      </w:r>
      <w:r w:rsidR="00C70887" w:rsidRPr="00C70887">
        <w:t>35</w:t>
      </w:r>
      <w:r w:rsidRPr="00C70887">
        <w:t>% (or $</w:t>
      </w:r>
      <w:r w:rsidR="00C70887" w:rsidRPr="00C70887">
        <w:t>54.2</w:t>
      </w:r>
      <w:r w:rsidRPr="00C70887">
        <w:t>m) to $</w:t>
      </w:r>
      <w:r w:rsidR="00C70887" w:rsidRPr="00C70887">
        <w:t>210.4</w:t>
      </w:r>
      <w:r w:rsidRPr="00C70887">
        <w:t>m.</w:t>
      </w:r>
    </w:p>
    <w:p w14:paraId="3C694058" w14:textId="5280E989" w:rsidR="00BE717D" w:rsidRPr="008A5994" w:rsidRDefault="00BE717D" w:rsidP="00BE717D">
      <w:r w:rsidRPr="00C70887">
        <w:t xml:space="preserve">The main contributors to this </w:t>
      </w:r>
      <w:r w:rsidR="005D5319" w:rsidRPr="00C70887">
        <w:t>increase</w:t>
      </w:r>
      <w:r w:rsidRPr="00C70887">
        <w:t xml:space="preserve"> were</w:t>
      </w:r>
      <w:r w:rsidR="00C70887" w:rsidRPr="00C70887">
        <w:t xml:space="preserve"> </w:t>
      </w:r>
      <w:r w:rsidR="00C70887" w:rsidRPr="00C70887">
        <w:rPr>
          <w:i/>
          <w:iCs/>
        </w:rPr>
        <w:t>Music</w:t>
      </w:r>
      <w:r w:rsidR="00C70887" w:rsidRPr="00C70887">
        <w:t xml:space="preserve"> ↑$</w:t>
      </w:r>
      <w:r w:rsidR="001B6339">
        <w:t>8.3</w:t>
      </w:r>
      <w:r w:rsidR="00C70887" w:rsidRPr="00C70887">
        <w:t xml:space="preserve">m, </w:t>
      </w:r>
      <w:r w:rsidR="00C70887" w:rsidRPr="00C70887">
        <w:rPr>
          <w:i/>
          <w:iCs/>
        </w:rPr>
        <w:t>Visual arts and crafts</w:t>
      </w:r>
      <w:r w:rsidR="00C70887" w:rsidRPr="00C70887">
        <w:t xml:space="preserve"> ↑$</w:t>
      </w:r>
      <w:r w:rsidR="001B6339">
        <w:t>10.9</w:t>
      </w:r>
      <w:r w:rsidR="00C70887" w:rsidRPr="00C70887">
        <w:t>m, and</w:t>
      </w:r>
      <w:r w:rsidRPr="00C70887">
        <w:t xml:space="preserve"> </w:t>
      </w:r>
      <w:r w:rsidR="00711226" w:rsidRPr="00C70887">
        <w:rPr>
          <w:i/>
          <w:iCs/>
        </w:rPr>
        <w:t>Film and video production and distribution</w:t>
      </w:r>
      <w:r w:rsidRPr="00C70887">
        <w:t xml:space="preserve"> ↑$</w:t>
      </w:r>
      <w:r w:rsidR="001B6339">
        <w:t>13.0</w:t>
      </w:r>
      <w:r w:rsidRPr="00C70887">
        <w:t>m</w:t>
      </w:r>
      <w:r w:rsidR="00C70887" w:rsidRPr="00C70887">
        <w:rPr>
          <w:i/>
          <w:iCs/>
        </w:rPr>
        <w:t>.</w:t>
      </w:r>
      <w:r w:rsidR="00AA4F96" w:rsidRPr="008A5994">
        <w:t xml:space="preserve"> </w:t>
      </w:r>
    </w:p>
    <w:p w14:paraId="5BCD8B4B" w14:textId="4C42303F" w:rsidR="00BE717D" w:rsidRDefault="00BE717D" w:rsidP="00BE717D">
      <w:pPr>
        <w:pStyle w:val="Tablefigureheading"/>
      </w:pPr>
      <w:bookmarkStart w:id="1" w:name="_Toc524533024"/>
      <w:r w:rsidRPr="00303AC1">
        <w:lastRenderedPageBreak/>
        <w:t xml:space="preserve">Figure 2. </w:t>
      </w:r>
      <w:r>
        <w:t>Western Australian</w:t>
      </w:r>
      <w:r w:rsidRPr="00303AC1">
        <w:t xml:space="preserve"> Government arts expenditure</w:t>
      </w:r>
      <w:r w:rsidR="00280E4C">
        <w:t xml:space="preserve"> (recurrent and capital)</w:t>
      </w:r>
      <w:r w:rsidRPr="00303AC1">
        <w:t>, by selected categories</w:t>
      </w:r>
      <w:bookmarkStart w:id="2" w:name="_Ref201739374"/>
      <w:bookmarkEnd w:id="1"/>
      <w:r w:rsidR="00C85239">
        <w:rPr>
          <w:rStyle w:val="FootnoteReference"/>
        </w:rPr>
        <w:footnoteReference w:id="4"/>
      </w:r>
      <w:bookmarkStart w:id="3" w:name="_GoBack"/>
      <w:bookmarkEnd w:id="2"/>
      <w:bookmarkEnd w:id="3"/>
    </w:p>
    <w:p w14:paraId="367E65D9" w14:textId="58C58B52" w:rsidR="005C05D7" w:rsidRPr="005C05D7" w:rsidRDefault="00C85239" w:rsidP="005C05D7">
      <w:pPr>
        <w:rPr>
          <w:lang w:eastAsia="en-US"/>
        </w:rPr>
      </w:pPr>
      <w:r>
        <w:rPr>
          <w:noProof/>
        </w:rPr>
        <w:drawing>
          <wp:inline distT="0" distB="0" distL="0" distR="0" wp14:anchorId="2D7EB01E" wp14:editId="6B83482F">
            <wp:extent cx="5902325" cy="2253082"/>
            <wp:effectExtent l="0" t="0" r="3175" b="0"/>
            <wp:docPr id="1185934276" name="Chart 1" descr="Figure 2. Western Australian Government arts expenditure (recurrent and capital), by selected categories.&#10;A column graph compares expenditure across the arts categories of Music, Theatre, Performing arts venues, Visual arts and crafts, Film and video production and distribution, Arts education, Community arts and cultural development, Multi-arts festivals, and Arts administration between the financial years of 2020-21, 2021-22 and 2023-24 for the Western Australian Government.&#10;2020-21: Music $8.5m, Theatre $7.5m, Performing arts venues $19.6m, Visual arts &amp; crafts $9.8m, Film &amp; video production &amp; distribution $14.9m, Arts education $9.2m, Community arts &amp; cultural development $14.8m, Multi-arts festivals $13.3m, Arts administration $12.5m.&#10;2021-22: Music $7.1m, Theatre $7.5m, Performing arts venues $24.5m, Visual arts &amp; crafts $8.9m, Film &amp; video production &amp; distribution $31.3m, Arts education $9.7m, Community arts &amp; cultural development $9.7m, Multi-arts festivals $16.5m, Arts administration $14.4m.&#10;2023-24: Music $15.4m, Theatre $7.7m, Performing arts venues $28.6m, Visual arts &amp; crafts $19.8m, Film &amp; video production &amp; distribution $44.3m, Arts education $10.1m, Community arts &amp; cultural development $14.3m, Multi-arts festivals $23.4m, Arts administration $19.9m.">
              <a:extLst xmlns:a="http://schemas.openxmlformats.org/drawingml/2006/main">
                <a:ext uri="{FF2B5EF4-FFF2-40B4-BE49-F238E27FC236}">
                  <a16:creationId xmlns:a16="http://schemas.microsoft.com/office/drawing/2014/main" id="{4D59B28F-11D2-45E7-954F-C734EA4CC3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045016" w14:textId="77777777" w:rsidR="00BE717D" w:rsidRPr="007365DB" w:rsidRDefault="00BE717D" w:rsidP="008A6B41">
      <w:pPr>
        <w:spacing w:after="0"/>
      </w:pPr>
      <w:r w:rsidRPr="007365DB">
        <w:t xml:space="preserve">The main categories of </w:t>
      </w:r>
      <w:r w:rsidRPr="007365DB">
        <w:rPr>
          <w:i/>
        </w:rPr>
        <w:t>Arts</w:t>
      </w:r>
      <w:r w:rsidRPr="007365DB">
        <w:t xml:space="preserve"> activities funding were:</w:t>
      </w:r>
    </w:p>
    <w:p w14:paraId="1C04CE3C" w14:textId="0F275537" w:rsidR="00BE717D" w:rsidRPr="00B42121" w:rsidRDefault="00711226" w:rsidP="00BE717D">
      <w:pPr>
        <w:pStyle w:val="ListParagraph"/>
        <w:numPr>
          <w:ilvl w:val="0"/>
          <w:numId w:val="9"/>
        </w:numPr>
        <w:ind w:left="360"/>
      </w:pPr>
      <w:r w:rsidRPr="00B42121">
        <w:rPr>
          <w:i/>
        </w:rPr>
        <w:t>Film and video production and distribution</w:t>
      </w:r>
      <w:r w:rsidR="00BE717D" w:rsidRPr="00B42121">
        <w:t>—$</w:t>
      </w:r>
      <w:r w:rsidR="00B42121" w:rsidRPr="00B42121">
        <w:t>44.3</w:t>
      </w:r>
      <w:r w:rsidR="00BE717D" w:rsidRPr="00B42121">
        <w:t>m</w:t>
      </w:r>
    </w:p>
    <w:p w14:paraId="0CE7B73C" w14:textId="2D5E7229" w:rsidR="002439A9" w:rsidRPr="00B42121" w:rsidRDefault="00711226" w:rsidP="002439A9">
      <w:pPr>
        <w:pStyle w:val="ListParagraph"/>
        <w:numPr>
          <w:ilvl w:val="0"/>
          <w:numId w:val="9"/>
        </w:numPr>
        <w:ind w:left="360"/>
      </w:pPr>
      <w:r w:rsidRPr="00B42121">
        <w:rPr>
          <w:i/>
          <w:iCs/>
        </w:rPr>
        <w:t>Performing arts venues</w:t>
      </w:r>
      <w:r w:rsidR="002439A9" w:rsidRPr="00B42121">
        <w:t>—$</w:t>
      </w:r>
      <w:r w:rsidR="00B42121" w:rsidRPr="00B42121">
        <w:t>28.6</w:t>
      </w:r>
      <w:r w:rsidR="002439A9" w:rsidRPr="00B42121">
        <w:t>m</w:t>
      </w:r>
    </w:p>
    <w:p w14:paraId="0E2918EB" w14:textId="12B5FA10" w:rsidR="001B6339" w:rsidRPr="00B42121" w:rsidRDefault="001B6339" w:rsidP="001B6339">
      <w:pPr>
        <w:pStyle w:val="ListParagraph"/>
        <w:numPr>
          <w:ilvl w:val="0"/>
          <w:numId w:val="9"/>
        </w:numPr>
        <w:ind w:left="360"/>
      </w:pPr>
      <w:r w:rsidRPr="00B42121">
        <w:rPr>
          <w:i/>
        </w:rPr>
        <w:t>Multi-arts festivals</w:t>
      </w:r>
      <w:r w:rsidRPr="00B42121">
        <w:t>—$</w:t>
      </w:r>
      <w:r w:rsidR="00B42121" w:rsidRPr="00B42121">
        <w:t>23.4</w:t>
      </w:r>
      <w:r w:rsidRPr="00B42121">
        <w:t>m</w:t>
      </w:r>
    </w:p>
    <w:p w14:paraId="519DC53F" w14:textId="2F574F40" w:rsidR="001B6339" w:rsidRPr="00B42121" w:rsidRDefault="001B6339" w:rsidP="001B6339">
      <w:pPr>
        <w:pStyle w:val="ListParagraph"/>
        <w:numPr>
          <w:ilvl w:val="0"/>
          <w:numId w:val="9"/>
        </w:numPr>
        <w:ind w:left="360"/>
      </w:pPr>
      <w:r w:rsidRPr="00B42121">
        <w:rPr>
          <w:i/>
        </w:rPr>
        <w:t>Arts administration</w:t>
      </w:r>
      <w:r w:rsidRPr="00B42121">
        <w:t>—$1</w:t>
      </w:r>
      <w:r w:rsidR="00B42121" w:rsidRPr="00B42121">
        <w:t>9.9</w:t>
      </w:r>
      <w:r w:rsidRPr="00B42121">
        <w:t>m</w:t>
      </w:r>
    </w:p>
    <w:p w14:paraId="1E1096D8" w14:textId="65161B69" w:rsidR="00307062" w:rsidRDefault="001B6339" w:rsidP="00307062">
      <w:pPr>
        <w:pStyle w:val="ListParagraph"/>
        <w:numPr>
          <w:ilvl w:val="0"/>
          <w:numId w:val="9"/>
        </w:numPr>
        <w:ind w:left="360"/>
      </w:pPr>
      <w:r w:rsidRPr="00B42121">
        <w:rPr>
          <w:i/>
        </w:rPr>
        <w:t>Visual arts and crafts</w:t>
      </w:r>
      <w:r w:rsidRPr="00B42121">
        <w:t>—$1</w:t>
      </w:r>
      <w:r w:rsidR="00B42121" w:rsidRPr="00B42121">
        <w:t>9.8</w:t>
      </w:r>
      <w:r w:rsidRPr="00B42121">
        <w:t>m</w:t>
      </w:r>
    </w:p>
    <w:p w14:paraId="2A746453" w14:textId="22DCD2AF" w:rsidR="004C07F5" w:rsidRDefault="00B42121" w:rsidP="00307062">
      <w:pPr>
        <w:pStyle w:val="ListParagraph"/>
        <w:numPr>
          <w:ilvl w:val="0"/>
          <w:numId w:val="9"/>
        </w:numPr>
        <w:ind w:left="360"/>
      </w:pPr>
      <w:r w:rsidRPr="00307062">
        <w:rPr>
          <w:i/>
        </w:rPr>
        <w:t>Music</w:t>
      </w:r>
      <w:r w:rsidRPr="00B42121">
        <w:t>—$1</w:t>
      </w:r>
      <w:r>
        <w:t>5</w:t>
      </w:r>
      <w:r w:rsidRPr="00B42121">
        <w:t>.</w:t>
      </w:r>
      <w:r>
        <w:t>4</w:t>
      </w:r>
      <w:r w:rsidRPr="00B42121">
        <w:t>m</w:t>
      </w:r>
    </w:p>
    <w:p w14:paraId="0ECCA573" w14:textId="612F304F" w:rsidR="004313DA" w:rsidRPr="004313DA" w:rsidRDefault="004313DA" w:rsidP="00307062">
      <w:pPr>
        <w:pStyle w:val="ListParagraph"/>
        <w:numPr>
          <w:ilvl w:val="0"/>
          <w:numId w:val="9"/>
        </w:numPr>
        <w:ind w:left="360"/>
      </w:pPr>
      <w:r>
        <w:rPr>
          <w:i/>
        </w:rPr>
        <w:t>Community arts and cultural development</w:t>
      </w:r>
      <w:r w:rsidRPr="00B42121">
        <w:t>—$1</w:t>
      </w:r>
      <w:r>
        <w:t>4.3</w:t>
      </w:r>
      <w:r w:rsidRPr="00B42121">
        <w:t>m</w:t>
      </w:r>
    </w:p>
    <w:p w14:paraId="08F77ABC" w14:textId="1D581DB0" w:rsidR="004313DA" w:rsidRPr="004313DA" w:rsidRDefault="004313DA" w:rsidP="00307062">
      <w:pPr>
        <w:pStyle w:val="ListParagraph"/>
        <w:numPr>
          <w:ilvl w:val="0"/>
          <w:numId w:val="9"/>
        </w:numPr>
        <w:ind w:left="360"/>
      </w:pPr>
      <w:r>
        <w:rPr>
          <w:i/>
        </w:rPr>
        <w:t>Arts education</w:t>
      </w:r>
      <w:r w:rsidRPr="00B42121">
        <w:t>—$1</w:t>
      </w:r>
      <w:r>
        <w:t>0.1</w:t>
      </w:r>
      <w:r w:rsidRPr="00B42121">
        <w:t>m</w:t>
      </w:r>
    </w:p>
    <w:p w14:paraId="74E8B469" w14:textId="7F535D91" w:rsidR="004313DA" w:rsidRPr="004C07F5" w:rsidRDefault="004313DA" w:rsidP="00307062">
      <w:pPr>
        <w:pStyle w:val="ListParagraph"/>
        <w:numPr>
          <w:ilvl w:val="0"/>
          <w:numId w:val="9"/>
        </w:numPr>
        <w:ind w:left="360"/>
      </w:pPr>
      <w:r>
        <w:rPr>
          <w:i/>
        </w:rPr>
        <w:t>Theatre</w:t>
      </w:r>
      <w:r w:rsidRPr="00B42121">
        <w:t>—$</w:t>
      </w:r>
      <w:r>
        <w:t>7.7</w:t>
      </w:r>
      <w:r w:rsidRPr="00B42121">
        <w:t>m</w:t>
      </w:r>
    </w:p>
    <w:p w14:paraId="0C4E05A7" w14:textId="7BB38019" w:rsidR="005C05D7" w:rsidRPr="00F5486A" w:rsidRDefault="005D5319" w:rsidP="005C05D7">
      <w:r w:rsidRPr="00F5486A">
        <w:t xml:space="preserve">Total </w:t>
      </w:r>
      <w:r w:rsidR="00177C5C">
        <w:t xml:space="preserve">heritage and arts </w:t>
      </w:r>
      <w:r w:rsidRPr="004313DA">
        <w:rPr>
          <w:b/>
          <w:bCs/>
        </w:rPr>
        <w:t>r</w:t>
      </w:r>
      <w:r w:rsidR="002008E0" w:rsidRPr="004313DA">
        <w:rPr>
          <w:b/>
          <w:bCs/>
        </w:rPr>
        <w:t>ecurrent</w:t>
      </w:r>
      <w:r w:rsidR="002008E0" w:rsidRPr="00F5486A">
        <w:t xml:space="preserve"> expenditure </w:t>
      </w:r>
      <w:r w:rsidR="00711226" w:rsidRPr="00F5486A">
        <w:t>in</w:t>
      </w:r>
      <w:r w:rsidR="002008E0" w:rsidRPr="00F5486A">
        <w:t xml:space="preserve">creased </w:t>
      </w:r>
      <w:r w:rsidR="00F5486A" w:rsidRPr="00F5486A">
        <w:t>11</w:t>
      </w:r>
      <w:r w:rsidR="002008E0" w:rsidRPr="00F5486A">
        <w:t>% (or $</w:t>
      </w:r>
      <w:r w:rsidR="00F5486A" w:rsidRPr="00F5486A">
        <w:t>31.2</w:t>
      </w:r>
      <w:r w:rsidR="002008E0" w:rsidRPr="00F5486A">
        <w:t>m) to $</w:t>
      </w:r>
      <w:r w:rsidR="00F5486A" w:rsidRPr="00F5486A">
        <w:t>306.0</w:t>
      </w:r>
      <w:r w:rsidR="002008E0" w:rsidRPr="00F5486A">
        <w:t>m.</w:t>
      </w:r>
    </w:p>
    <w:p w14:paraId="1A841877" w14:textId="57FD1CB6" w:rsidR="001448F9" w:rsidRPr="008A5994" w:rsidRDefault="005C05D7" w:rsidP="005C05D7">
      <w:r w:rsidRPr="00F5486A">
        <w:t>T</w:t>
      </w:r>
      <w:r w:rsidR="00F6646D" w:rsidRPr="00F5486A">
        <w:t xml:space="preserve">he largest recurrent expenditure was for </w:t>
      </w:r>
      <w:r w:rsidR="005E4F35" w:rsidRPr="00F5486A">
        <w:rPr>
          <w:i/>
        </w:rPr>
        <w:t>Other museums and cultural heritage</w:t>
      </w:r>
      <w:r w:rsidR="005E4F35" w:rsidRPr="00F5486A">
        <w:t xml:space="preserve"> ($</w:t>
      </w:r>
      <w:r w:rsidR="00F5486A" w:rsidRPr="00F5486A">
        <w:t>83.4</w:t>
      </w:r>
      <w:r w:rsidR="005E4F35" w:rsidRPr="00F5486A">
        <w:t>m)</w:t>
      </w:r>
      <w:r w:rsidR="00F6646D" w:rsidRPr="00F5486A">
        <w:t xml:space="preserve"> followed by</w:t>
      </w:r>
      <w:r w:rsidRPr="00F5486A">
        <w:t xml:space="preserve"> </w:t>
      </w:r>
      <w:r w:rsidR="00F6646D" w:rsidRPr="00F5486A">
        <w:rPr>
          <w:i/>
        </w:rPr>
        <w:t>Libraries</w:t>
      </w:r>
      <w:r w:rsidR="00F6646D" w:rsidRPr="00F5486A">
        <w:t xml:space="preserve"> ($</w:t>
      </w:r>
      <w:r w:rsidR="00F5486A">
        <w:t>30.5</w:t>
      </w:r>
      <w:r w:rsidR="00F6646D" w:rsidRPr="00F5486A">
        <w:t>m)</w:t>
      </w:r>
      <w:r w:rsidR="00F5486A" w:rsidRPr="00F5486A">
        <w:t xml:space="preserve">, </w:t>
      </w:r>
      <w:r w:rsidR="00F5486A" w:rsidRPr="00F5486A">
        <w:rPr>
          <w:i/>
        </w:rPr>
        <w:t>Art museums</w:t>
      </w:r>
      <w:r w:rsidR="00711226" w:rsidRPr="00F5486A">
        <w:t xml:space="preserve"> </w:t>
      </w:r>
      <w:r w:rsidR="00AA4F96" w:rsidRPr="00F5486A">
        <w:t>($</w:t>
      </w:r>
      <w:r w:rsidR="00F5486A">
        <w:t>23.9</w:t>
      </w:r>
      <w:r w:rsidR="00AA4F96" w:rsidRPr="00F5486A">
        <w:t>m)</w:t>
      </w:r>
      <w:r w:rsidR="00F5486A" w:rsidRPr="00F5486A">
        <w:t xml:space="preserve">, </w:t>
      </w:r>
      <w:r w:rsidR="00F5486A" w:rsidRPr="00F5486A">
        <w:rPr>
          <w:i/>
          <w:iCs/>
        </w:rPr>
        <w:t>Multi-arts festivals</w:t>
      </w:r>
      <w:r w:rsidR="00F5486A" w:rsidRPr="00F5486A">
        <w:t xml:space="preserve"> ($</w:t>
      </w:r>
      <w:r w:rsidR="00F5486A">
        <w:t>21.8</w:t>
      </w:r>
      <w:r w:rsidR="00F5486A" w:rsidRPr="00F5486A">
        <w:t xml:space="preserve">m) and </w:t>
      </w:r>
      <w:r w:rsidR="00F5486A" w:rsidRPr="00F5486A">
        <w:rPr>
          <w:i/>
          <w:iCs/>
        </w:rPr>
        <w:t>Performing arts venues</w:t>
      </w:r>
      <w:r w:rsidR="00F5486A" w:rsidRPr="00F5486A">
        <w:t xml:space="preserve"> ($</w:t>
      </w:r>
      <w:r w:rsidR="00F5486A">
        <w:t>21.7</w:t>
      </w:r>
      <w:r w:rsidR="00F5486A" w:rsidRPr="00F5486A">
        <w:t>m).</w:t>
      </w:r>
    </w:p>
    <w:p w14:paraId="2F460C7C" w14:textId="487DC77A" w:rsidR="00BE717D" w:rsidRDefault="00BE717D" w:rsidP="00BE717D">
      <w:pPr>
        <w:pStyle w:val="Tablefigureheading"/>
      </w:pPr>
      <w:r w:rsidRPr="00303AC1">
        <w:t xml:space="preserve">Figure 3. </w:t>
      </w:r>
      <w:r>
        <w:t>Western Australian</w:t>
      </w:r>
      <w:r w:rsidRPr="00303AC1">
        <w:t xml:space="preserve"> Government recurrent cultural expenditure, by selected catego</w:t>
      </w:r>
      <w:r w:rsidR="00C30956">
        <w:t>ries</w:t>
      </w:r>
      <w:r w:rsidR="00C85239" w:rsidRPr="00C85239">
        <w:rPr>
          <w:vertAlign w:val="superscript"/>
        </w:rPr>
        <w:fldChar w:fldCharType="begin"/>
      </w:r>
      <w:r w:rsidR="00C85239" w:rsidRPr="00C85239">
        <w:rPr>
          <w:vertAlign w:val="superscript"/>
        </w:rPr>
        <w:instrText xml:space="preserve"> NOTEREF _Ref201739374 \h </w:instrText>
      </w:r>
      <w:r w:rsidR="00C85239">
        <w:rPr>
          <w:vertAlign w:val="superscript"/>
        </w:rPr>
        <w:instrText xml:space="preserve"> \* MERGEFORMAT </w:instrText>
      </w:r>
      <w:r w:rsidR="00C85239" w:rsidRPr="00C85239">
        <w:rPr>
          <w:vertAlign w:val="superscript"/>
        </w:rPr>
      </w:r>
      <w:r w:rsidR="00C85239" w:rsidRPr="00C85239">
        <w:rPr>
          <w:vertAlign w:val="superscript"/>
        </w:rPr>
        <w:fldChar w:fldCharType="separate"/>
      </w:r>
      <w:r w:rsidR="00087086">
        <w:rPr>
          <w:vertAlign w:val="superscript"/>
        </w:rPr>
        <w:t>4</w:t>
      </w:r>
      <w:r w:rsidR="00C85239" w:rsidRPr="00C85239">
        <w:rPr>
          <w:vertAlign w:val="superscript"/>
        </w:rPr>
        <w:fldChar w:fldCharType="end"/>
      </w:r>
    </w:p>
    <w:p w14:paraId="1C8978CE" w14:textId="40530830" w:rsidR="00EF2C47" w:rsidRPr="004313DA" w:rsidRDefault="006A75E3" w:rsidP="004313DA">
      <w:pPr>
        <w:rPr>
          <w:lang w:eastAsia="en-US"/>
        </w:rPr>
      </w:pPr>
      <w:r>
        <w:rPr>
          <w:noProof/>
        </w:rPr>
        <w:drawing>
          <wp:inline distT="0" distB="0" distL="0" distR="0" wp14:anchorId="554122CA" wp14:editId="470739CB">
            <wp:extent cx="5926455" cy="2670048"/>
            <wp:effectExtent l="0" t="0" r="0" b="0"/>
            <wp:docPr id="1466312300" name="Chart 1" descr="Figure 3. Western Australia Government recurrent cultural expenditure, by selected categories.&#10;A column graph compares expenditure across the heritage and arts categories of Art museums, Other museums and cultural heritage, Libraries, Music, Performing arts venues, Film and video production and distribution, Arts education, Multi-arts festivals and Arts administration between the financial years of 2020-21, 2021-22 and 2023-24 for the Western Australia Government.&#10;2020-21: Art museums $10.2m, Other museums &amp; cultural heritage $66.4m, Libraries $31.6m, Music $8.5m, Performing arts venues $18.5m, Film &amp; video production &amp; distribution $14.9m, Multi-arts festivals $13.3m, Arts administration $12.5m.&#10;2021-22: Art museums $11.1m, Other museums &amp; cultural heritage $82.1m, Libraries $29.4m, Music $7.0m, Performing arts venues $13.1m, Film &amp; video production &amp; distribution $27.1m, Multi-arts festivals $16.5m, Arts administration $14.4m.&#10;2023-24: Art museums $23.9m, Other museums &amp; cultural heritage $83.4m, Libraries $30.5m, Music $15.4m, Performing arts venues $21.7m, Film &amp; video production &amp; distribution $21.1m, Multi-arts festivals $21.8m, Arts administration $19.9m.">
              <a:extLst xmlns:a="http://schemas.openxmlformats.org/drawingml/2006/main">
                <a:ext uri="{FF2B5EF4-FFF2-40B4-BE49-F238E27FC236}">
                  <a16:creationId xmlns:a16="http://schemas.microsoft.com/office/drawing/2014/main" id="{9480C17F-D4B2-4F34-9EB9-6FA5B722CB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EF2C47" w:rsidRPr="004313DA" w:rsidSect="00842CA0">
      <w:type w:val="continuous"/>
      <w:pgSz w:w="11906" w:h="16838"/>
      <w:pgMar w:top="1418" w:right="1133"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5C72B" w14:textId="77777777" w:rsidR="00705254" w:rsidRDefault="00705254" w:rsidP="002117E6">
      <w:pPr>
        <w:spacing w:after="0"/>
      </w:pPr>
      <w:r>
        <w:separator/>
      </w:r>
    </w:p>
  </w:endnote>
  <w:endnote w:type="continuationSeparator" w:id="0">
    <w:p w14:paraId="619CC8AE" w14:textId="77777777" w:rsidR="00705254" w:rsidRDefault="00705254" w:rsidP="00211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5D076" w14:textId="6436A708" w:rsidR="00FC0C98" w:rsidRPr="002454AC" w:rsidRDefault="00FC0C98" w:rsidP="00842CA0">
    <w:pPr>
      <w:pStyle w:val="Footer"/>
      <w:tabs>
        <w:tab w:val="clear" w:pos="9026"/>
        <w:tab w:val="right" w:pos="9333"/>
      </w:tabs>
      <w:rPr>
        <w:rStyle w:val="Hyperlink"/>
        <w:b w:val="0"/>
        <w:color w:val="auto"/>
        <w:sz w:val="18"/>
        <w:szCs w:val="18"/>
        <w:u w:val="none"/>
      </w:rPr>
    </w:pPr>
    <w:r w:rsidRPr="00CC4247">
      <w:rPr>
        <w:sz w:val="18"/>
        <w:szCs w:val="18"/>
      </w:rPr>
      <w:t>Cultural</w:t>
    </w:r>
    <w:r>
      <w:rPr>
        <w:sz w:val="18"/>
        <w:szCs w:val="18"/>
      </w:rPr>
      <w:t xml:space="preserve"> Funding by Government—20</w:t>
    </w:r>
    <w:r w:rsidR="006970A6">
      <w:rPr>
        <w:sz w:val="18"/>
        <w:szCs w:val="18"/>
      </w:rPr>
      <w:t>2</w:t>
    </w:r>
    <w:r w:rsidR="001477C2">
      <w:rPr>
        <w:sz w:val="18"/>
        <w:szCs w:val="18"/>
      </w:rPr>
      <w:t>3</w:t>
    </w:r>
    <w:r>
      <w:t>–</w:t>
    </w:r>
    <w:r w:rsidR="00501008">
      <w:rPr>
        <w:sz w:val="18"/>
        <w:szCs w:val="18"/>
      </w:rPr>
      <w:t>2</w:t>
    </w:r>
    <w:r w:rsidR="001477C2">
      <w:rPr>
        <w:sz w:val="18"/>
        <w:szCs w:val="18"/>
      </w:rPr>
      <w:t>4</w:t>
    </w:r>
    <w:r w:rsidRPr="00CC4247">
      <w:rPr>
        <w:sz w:val="18"/>
        <w:szCs w:val="18"/>
      </w:rPr>
      <w:t>—</w:t>
    </w:r>
    <w:r w:rsidR="00BE717D">
      <w:rPr>
        <w:sz w:val="18"/>
        <w:szCs w:val="18"/>
      </w:rPr>
      <w:t xml:space="preserve">Western </w:t>
    </w:r>
    <w:r w:rsidRPr="00CC4247">
      <w:rPr>
        <w:sz w:val="18"/>
        <w:szCs w:val="18"/>
      </w:rPr>
      <w:t>Au</w:t>
    </w:r>
    <w:r w:rsidR="00BE717D">
      <w:rPr>
        <w:sz w:val="18"/>
        <w:szCs w:val="18"/>
      </w:rPr>
      <w:t>stralian</w:t>
    </w:r>
    <w:r w:rsidRPr="00CC4247">
      <w:rPr>
        <w:sz w:val="18"/>
        <w:szCs w:val="18"/>
      </w:rPr>
      <w:t xml:space="preserve"> Government</w:t>
    </w:r>
    <w:r w:rsidRPr="0037566A">
      <w:rPr>
        <w:sz w:val="18"/>
        <w:szCs w:val="18"/>
      </w:rPr>
      <w:tab/>
    </w:r>
    <w:sdt>
      <w:sdtPr>
        <w:rPr>
          <w:sz w:val="18"/>
          <w:szCs w:val="18"/>
        </w:rPr>
        <w:id w:val="-924028759"/>
        <w:docPartObj>
          <w:docPartGallery w:val="Page Numbers (Top of Page)"/>
          <w:docPartUnique/>
        </w:docPartObj>
      </w:sdtPr>
      <w:sdtEndPr/>
      <w:sdtContent>
        <w:r w:rsidRPr="0037566A">
          <w:rPr>
            <w:sz w:val="18"/>
            <w:szCs w:val="18"/>
          </w:rPr>
          <w:t xml:space="preserve">Page </w:t>
        </w:r>
        <w:r w:rsidRPr="0037566A">
          <w:rPr>
            <w:bCs/>
            <w:sz w:val="18"/>
            <w:szCs w:val="18"/>
          </w:rPr>
          <w:fldChar w:fldCharType="begin"/>
        </w:r>
        <w:r w:rsidRPr="0037566A">
          <w:rPr>
            <w:bCs/>
            <w:sz w:val="18"/>
            <w:szCs w:val="18"/>
          </w:rPr>
          <w:instrText xml:space="preserve"> PAGE </w:instrText>
        </w:r>
        <w:r w:rsidRPr="0037566A">
          <w:rPr>
            <w:bCs/>
            <w:sz w:val="18"/>
            <w:szCs w:val="18"/>
          </w:rPr>
          <w:fldChar w:fldCharType="separate"/>
        </w:r>
        <w:r w:rsidR="00F9394E">
          <w:rPr>
            <w:bCs/>
            <w:noProof/>
            <w:sz w:val="18"/>
            <w:szCs w:val="18"/>
          </w:rPr>
          <w:t>2</w:t>
        </w:r>
        <w:r w:rsidRPr="0037566A">
          <w:rPr>
            <w:bCs/>
            <w:sz w:val="18"/>
            <w:szCs w:val="18"/>
          </w:rPr>
          <w:fldChar w:fldCharType="end"/>
        </w:r>
        <w:r w:rsidRPr="0037566A">
          <w:rPr>
            <w:sz w:val="18"/>
            <w:szCs w:val="18"/>
          </w:rPr>
          <w:t xml:space="preserve"> of </w:t>
        </w:r>
        <w:r w:rsidRPr="0037566A">
          <w:rPr>
            <w:bCs/>
            <w:sz w:val="18"/>
            <w:szCs w:val="18"/>
          </w:rPr>
          <w:fldChar w:fldCharType="begin"/>
        </w:r>
        <w:r w:rsidRPr="0037566A">
          <w:rPr>
            <w:bCs/>
            <w:sz w:val="18"/>
            <w:szCs w:val="18"/>
          </w:rPr>
          <w:instrText xml:space="preserve"> NUMPAGES  </w:instrText>
        </w:r>
        <w:r w:rsidRPr="0037566A">
          <w:rPr>
            <w:bCs/>
            <w:sz w:val="18"/>
            <w:szCs w:val="18"/>
          </w:rPr>
          <w:fldChar w:fldCharType="separate"/>
        </w:r>
        <w:r w:rsidR="00F9394E">
          <w:rPr>
            <w:bCs/>
            <w:noProof/>
            <w:sz w:val="18"/>
            <w:szCs w:val="18"/>
          </w:rPr>
          <w:t>2</w:t>
        </w:r>
        <w:r w:rsidRPr="0037566A">
          <w:rPr>
            <w:bCs/>
            <w:sz w:val="18"/>
            <w:szCs w:val="18"/>
          </w:rPr>
          <w:fldChar w:fldCharType="end"/>
        </w:r>
      </w:sdtContent>
    </w:sdt>
  </w:p>
  <w:p w14:paraId="7A8AEEF8" w14:textId="77777777" w:rsidR="00FC0C98" w:rsidRDefault="00FC0C98" w:rsidP="00842CA0">
    <w:pPr>
      <w:spacing w:after="0"/>
      <w:ind w:left="-1418"/>
    </w:pPr>
    <w:r>
      <w:rPr>
        <w:noProof/>
        <w:lang w:eastAsia="en-AU"/>
      </w:rPr>
      <w:drawing>
        <wp:inline distT="0" distB="0" distL="0" distR="0" wp14:anchorId="22C413FE" wp14:editId="573FC905">
          <wp:extent cx="7560000" cy="358181"/>
          <wp:effectExtent l="0" t="0" r="3175" b="3810"/>
          <wp:docPr id="7" name="Picture 7" descr="Purple Border " title="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1935" t="-12324" r="1078" b="19102"/>
                  <a:stretch/>
                </pic:blipFill>
                <pic:spPr bwMode="auto">
                  <a:xfrm>
                    <a:off x="0" y="0"/>
                    <a:ext cx="7560000" cy="358181"/>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8BC86" w14:textId="21289A96" w:rsidR="00E23218" w:rsidRPr="00CD5C1E" w:rsidRDefault="00CD5C1E" w:rsidP="00CD5C1E">
    <w:pPr>
      <w:pStyle w:val="Footer"/>
      <w:rPr>
        <w:i/>
        <w:iCs/>
        <w:sz w:val="18"/>
        <w:szCs w:val="18"/>
      </w:rPr>
    </w:pPr>
    <w:r w:rsidRPr="00CD5C1E">
      <w:rPr>
        <w:i/>
        <w:iCs/>
        <w:sz w:val="18"/>
        <w:szCs w:val="18"/>
      </w:rPr>
      <w:t xml:space="preserve">Source: Cultural Funding by Government </w:t>
    </w:r>
    <w:r>
      <w:rPr>
        <w:i/>
        <w:iCs/>
        <w:noProof/>
        <w:sz w:val="18"/>
        <w:szCs w:val="18"/>
        <w:lang w:eastAsia="en-AU"/>
      </w:rPr>
      <w:t>202</w:t>
    </w:r>
    <w:r w:rsidR="001477C2">
      <w:rPr>
        <w:i/>
        <w:iCs/>
        <w:noProof/>
        <w:sz w:val="18"/>
        <w:szCs w:val="18"/>
        <w:lang w:eastAsia="en-AU"/>
      </w:rPr>
      <w:t>3</w:t>
    </w:r>
    <w:r>
      <w:t>–</w:t>
    </w:r>
    <w:r>
      <w:rPr>
        <w:i/>
        <w:iCs/>
        <w:noProof/>
        <w:sz w:val="18"/>
        <w:szCs w:val="18"/>
        <w:lang w:eastAsia="en-AU"/>
      </w:rPr>
      <w:t>2</w:t>
    </w:r>
    <w:r w:rsidR="001477C2">
      <w:rPr>
        <w:i/>
        <w:iCs/>
        <w:noProof/>
        <w:sz w:val="18"/>
        <w:szCs w:val="18"/>
        <w:lang w:eastAsia="en-AU"/>
      </w:rPr>
      <w:t>4</w:t>
    </w:r>
    <w:r>
      <w:rPr>
        <w:noProof/>
        <w:sz w:val="18"/>
        <w:szCs w:val="18"/>
        <w:lang w:eastAsia="en-AU"/>
      </w:rPr>
      <w:t xml:space="preserve"> </w:t>
    </w:r>
    <w:r w:rsidRPr="00CD5C1E">
      <w:rPr>
        <w:i/>
        <w:iCs/>
        <w:sz w:val="18"/>
        <w:szCs w:val="18"/>
      </w:rPr>
      <w:t>survey</w:t>
    </w:r>
  </w:p>
  <w:p w14:paraId="471F2EF6" w14:textId="0E44F1C9" w:rsidR="00FC0C98" w:rsidRPr="00477982" w:rsidRDefault="00DD4ACA" w:rsidP="00477982">
    <w:pPr>
      <w:pStyle w:val="Footer"/>
      <w:ind w:left="-1418"/>
      <w:rPr>
        <w:rStyle w:val="Hyperlink"/>
        <w:color w:val="auto"/>
        <w:u w:val="none"/>
      </w:rPr>
    </w:pPr>
    <w:r>
      <w:rPr>
        <w:noProof/>
        <w:lang w:eastAsia="en-AU"/>
      </w:rPr>
      <w:drawing>
        <wp:inline distT="0" distB="0" distL="0" distR="0" wp14:anchorId="05FC6D49" wp14:editId="5F8C6415">
          <wp:extent cx="9511794" cy="334010"/>
          <wp:effectExtent l="0" t="0" r="0" b="8890"/>
          <wp:docPr id="5" name="Picture 5" descr="Purple Border " title="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1935" t="-12324" r="1078" b="19102"/>
                  <a:stretch/>
                </pic:blipFill>
                <pic:spPr bwMode="auto">
                  <a:xfrm>
                    <a:off x="0" y="0"/>
                    <a:ext cx="10076050" cy="353824"/>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1521B" w14:textId="77777777" w:rsidR="00705254" w:rsidRDefault="00705254" w:rsidP="002117E6">
      <w:pPr>
        <w:spacing w:after="0"/>
      </w:pPr>
      <w:r>
        <w:separator/>
      </w:r>
    </w:p>
  </w:footnote>
  <w:footnote w:type="continuationSeparator" w:id="0">
    <w:p w14:paraId="399EBB18" w14:textId="77777777" w:rsidR="00705254" w:rsidRDefault="00705254" w:rsidP="002117E6">
      <w:pPr>
        <w:spacing w:after="0"/>
      </w:pPr>
      <w:r>
        <w:continuationSeparator/>
      </w:r>
    </w:p>
  </w:footnote>
  <w:footnote w:id="1">
    <w:p w14:paraId="16B99509" w14:textId="77F9BEB2" w:rsidR="005D3E66" w:rsidRPr="004313DA" w:rsidRDefault="005D3E66">
      <w:pPr>
        <w:pStyle w:val="FootnoteText"/>
        <w:rPr>
          <w:sz w:val="17"/>
          <w:szCs w:val="17"/>
        </w:rPr>
      </w:pPr>
      <w:r w:rsidRPr="004313DA">
        <w:rPr>
          <w:rStyle w:val="FootnoteReference"/>
          <w:sz w:val="17"/>
          <w:szCs w:val="17"/>
        </w:rPr>
        <w:footnoteRef/>
      </w:r>
      <w:r w:rsidRPr="004313DA">
        <w:rPr>
          <w:sz w:val="17"/>
          <w:szCs w:val="17"/>
        </w:rPr>
        <w:t xml:space="preserve"> </w:t>
      </w:r>
      <w:r w:rsidRPr="005D3E66">
        <w:rPr>
          <w:sz w:val="17"/>
          <w:szCs w:val="17"/>
        </w:rPr>
        <w:t>No survey was conducted for 2022–23 due to the move to a biennial collection cycle.</w:t>
      </w:r>
    </w:p>
  </w:footnote>
  <w:footnote w:id="2">
    <w:p w14:paraId="1EEAED0A" w14:textId="77777777" w:rsidR="00DE127B" w:rsidRPr="005D3E66" w:rsidRDefault="00DE127B" w:rsidP="001C4A7A">
      <w:pPr>
        <w:pStyle w:val="FootnoteText"/>
        <w:rPr>
          <w:sz w:val="17"/>
          <w:szCs w:val="17"/>
        </w:rPr>
      </w:pPr>
      <w:r w:rsidRPr="005D3E66">
        <w:rPr>
          <w:rStyle w:val="FootnoteReference"/>
          <w:sz w:val="17"/>
          <w:szCs w:val="17"/>
        </w:rPr>
        <w:footnoteRef/>
      </w:r>
      <w:r w:rsidRPr="005D3E66">
        <w:rPr>
          <w:sz w:val="17"/>
          <w:szCs w:val="17"/>
        </w:rPr>
        <w:t xml:space="preserve"> Includes $12.1m targeted cultural and creative sector COVID support funding, reported across categories and totals.</w:t>
      </w:r>
    </w:p>
  </w:footnote>
  <w:footnote w:id="3">
    <w:p w14:paraId="5BAD09F8" w14:textId="33678196" w:rsidR="00DE127B" w:rsidRPr="002A503C" w:rsidRDefault="00DE127B">
      <w:pPr>
        <w:pStyle w:val="FootnoteText"/>
        <w:rPr>
          <w:sz w:val="18"/>
          <w:szCs w:val="18"/>
        </w:rPr>
      </w:pPr>
      <w:r w:rsidRPr="005D3E66">
        <w:rPr>
          <w:rStyle w:val="FootnoteReference"/>
          <w:sz w:val="17"/>
          <w:szCs w:val="17"/>
        </w:rPr>
        <w:footnoteRef/>
      </w:r>
      <w:r w:rsidRPr="005D3E66">
        <w:rPr>
          <w:sz w:val="17"/>
          <w:szCs w:val="17"/>
        </w:rPr>
        <w:t xml:space="preserve"> Includes $16.8m targeted cultural and creative sector COVID support funding, reported across categories and totals. $16.2m</w:t>
      </w:r>
      <w:r w:rsidR="00B80861">
        <w:rPr>
          <w:sz w:val="17"/>
          <w:szCs w:val="17"/>
        </w:rPr>
        <w:t xml:space="preserve"> of this expenditure</w:t>
      </w:r>
      <w:r w:rsidRPr="005D3E66">
        <w:rPr>
          <w:sz w:val="17"/>
          <w:szCs w:val="17"/>
        </w:rPr>
        <w:t xml:space="preserve"> is included in the totals only.</w:t>
      </w:r>
    </w:p>
  </w:footnote>
  <w:footnote w:id="4">
    <w:p w14:paraId="2241AF90" w14:textId="00C40DC4" w:rsidR="00C85239" w:rsidRPr="00C85239" w:rsidRDefault="00C85239">
      <w:pPr>
        <w:pStyle w:val="FootnoteText"/>
        <w:rPr>
          <w:sz w:val="17"/>
          <w:szCs w:val="17"/>
        </w:rPr>
      </w:pPr>
      <w:r w:rsidRPr="00C85239">
        <w:rPr>
          <w:rStyle w:val="FootnoteReference"/>
          <w:sz w:val="17"/>
          <w:szCs w:val="17"/>
        </w:rPr>
        <w:footnoteRef/>
      </w:r>
      <w:r w:rsidRPr="00C85239">
        <w:rPr>
          <w:sz w:val="17"/>
          <w:szCs w:val="17"/>
        </w:rPr>
        <w:t xml:space="preserve"> Recurrent and total expenditure in the categor</w:t>
      </w:r>
      <w:r>
        <w:rPr>
          <w:sz w:val="17"/>
          <w:szCs w:val="17"/>
        </w:rPr>
        <w:t>ies</w:t>
      </w:r>
      <w:r w:rsidRPr="00C85239">
        <w:rPr>
          <w:sz w:val="17"/>
          <w:szCs w:val="17"/>
        </w:rPr>
        <w:t xml:space="preserve"> of </w:t>
      </w:r>
      <w:r w:rsidRPr="00C85239">
        <w:rPr>
          <w:i/>
          <w:iCs/>
          <w:sz w:val="17"/>
          <w:szCs w:val="17"/>
        </w:rPr>
        <w:t>Performing arts venues</w:t>
      </w:r>
      <w:r>
        <w:rPr>
          <w:sz w:val="17"/>
          <w:szCs w:val="17"/>
        </w:rPr>
        <w:t xml:space="preserve"> and </w:t>
      </w:r>
      <w:r w:rsidRPr="00C85239">
        <w:rPr>
          <w:i/>
          <w:iCs/>
          <w:sz w:val="17"/>
          <w:szCs w:val="17"/>
        </w:rPr>
        <w:t>Theatre</w:t>
      </w:r>
      <w:r w:rsidRPr="00C85239">
        <w:rPr>
          <w:sz w:val="17"/>
          <w:szCs w:val="17"/>
        </w:rPr>
        <w:t xml:space="preserve"> for 2021–22 ha</w:t>
      </w:r>
      <w:r>
        <w:rPr>
          <w:sz w:val="17"/>
          <w:szCs w:val="17"/>
        </w:rPr>
        <w:t>s</w:t>
      </w:r>
      <w:r w:rsidRPr="00C85239">
        <w:rPr>
          <w:sz w:val="17"/>
          <w:szCs w:val="17"/>
        </w:rPr>
        <w:t xml:space="preserve"> been revised.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4E276" w14:textId="577F57E8" w:rsidR="00501008" w:rsidRDefault="00501008">
    <w:pPr>
      <w:pStyle w:val="Header"/>
    </w:pPr>
    <w:r>
      <w:rPr>
        <w:noProof/>
      </w:rPr>
      <mc:AlternateContent>
        <mc:Choice Requires="wps">
          <w:drawing>
            <wp:anchor distT="0" distB="0" distL="0" distR="0" simplePos="0" relativeHeight="251659264" behindDoc="0" locked="0" layoutInCell="1" allowOverlap="1" wp14:anchorId="4B5C54FE" wp14:editId="66F62A92">
              <wp:simplePos x="635" y="635"/>
              <wp:positionH relativeFrom="column">
                <wp:align>center</wp:align>
              </wp:positionH>
              <wp:positionV relativeFrom="paragraph">
                <wp:posOffset>635</wp:posOffset>
              </wp:positionV>
              <wp:extent cx="443865" cy="443865"/>
              <wp:effectExtent l="0" t="0" r="18415" b="2540"/>
              <wp:wrapSquare wrapText="bothSides"/>
              <wp:docPr id="4" name="Text Box 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0C1CA3" w14:textId="7EB35F45" w:rsidR="00501008" w:rsidRPr="00501008" w:rsidRDefault="00501008">
                          <w:pPr>
                            <w:rPr>
                              <w:rFonts w:ascii="Arial" w:eastAsia="Arial" w:hAnsi="Arial" w:cs="Arial"/>
                              <w:noProof/>
                              <w:color w:val="A80000"/>
                              <w:sz w:val="24"/>
                              <w:szCs w:val="24"/>
                            </w:rPr>
                          </w:pPr>
                          <w:r w:rsidRPr="00501008">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5C54FE"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aEb8cFsCAACbBAAADgAAAAAAAAAAAAAAAAAuAgAAZHJzL2Uyb0RvYy54bWxQSwECLQAU&#10;AAYACAAAACEAhLDTKNYAAAADAQAADwAAAAAAAAAAAAAAAAC1BAAAZHJzL2Rvd25yZXYueG1sUEsF&#10;BgAAAAAEAAQA8wAAALgFAAAAAA==&#10;" filled="f" stroked="f">
              <v:textbox style="mso-fit-shape-to-text:t" inset="0,0,0,0">
                <w:txbxContent>
                  <w:p w14:paraId="2F0C1CA3" w14:textId="7EB35F45" w:rsidR="00501008" w:rsidRPr="00501008" w:rsidRDefault="00501008">
                    <w:pPr>
                      <w:rPr>
                        <w:rFonts w:ascii="Arial" w:eastAsia="Arial" w:hAnsi="Arial" w:cs="Arial"/>
                        <w:noProof/>
                        <w:color w:val="A80000"/>
                        <w:sz w:val="24"/>
                        <w:szCs w:val="24"/>
                      </w:rPr>
                    </w:pPr>
                    <w:r w:rsidRPr="00501008">
                      <w:rPr>
                        <w:rFonts w:ascii="Arial" w:eastAsia="Arial" w:hAnsi="Arial" w:cs="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BF70" w14:textId="595AB5F4" w:rsidR="00FC0C98" w:rsidRDefault="00FC0C98" w:rsidP="00477982">
    <w:pPr>
      <w:pStyle w:val="Header"/>
      <w:ind w:left="-1418"/>
    </w:pPr>
    <w:r>
      <w:rPr>
        <w:noProof/>
        <w:lang w:eastAsia="en-AU"/>
      </w:rPr>
      <w:drawing>
        <wp:inline distT="0" distB="0" distL="0" distR="0" wp14:anchorId="33197DE3" wp14:editId="08034230">
          <wp:extent cx="7560000" cy="544479"/>
          <wp:effectExtent l="0" t="0" r="3175" b="8255"/>
          <wp:docPr id="6" name="Picture 6" descr="Purple Border" title="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654" t="19214" r="1857"/>
                  <a:stretch/>
                </pic:blipFill>
                <pic:spPr bwMode="auto">
                  <a:xfrm>
                    <a:off x="0" y="0"/>
                    <a:ext cx="7560000" cy="544479"/>
                  </a:xfrm>
                  <a:prstGeom prst="rect">
                    <a:avLst/>
                  </a:prstGeom>
                  <a:noFill/>
                  <a:ln>
                    <a:noFill/>
                  </a:ln>
                  <a:extLst>
                    <a:ext uri="{53640926-AAD7-44D8-BBD7-CCE9431645EC}">
                      <a14:shadowObscured xmlns:a14="http://schemas.microsoft.com/office/drawing/2010/main"/>
                    </a:ext>
                  </a:extLst>
                </pic:spPr>
              </pic:pic>
            </a:graphicData>
          </a:graphic>
        </wp:inline>
      </w:drawing>
    </w:r>
  </w:p>
  <w:p w14:paraId="7D05254B" w14:textId="605055F9" w:rsidR="00FC0C98" w:rsidRDefault="00CD5C1E" w:rsidP="00A0554C">
    <w:pPr>
      <w:pStyle w:val="Header"/>
      <w:tabs>
        <w:tab w:val="clear" w:pos="9026"/>
        <w:tab w:val="right" w:pos="9333"/>
      </w:tabs>
    </w:pPr>
    <w:r>
      <w:t xml:space="preserve">Cultural and Creative </w:t>
    </w:r>
    <w:r w:rsidR="0070126E" w:rsidRPr="00CD5C1E">
      <w:t>Statistics Working Group</w:t>
    </w:r>
    <w:r w:rsidR="00FC0C98" w:rsidRPr="00A96536">
      <w:tab/>
    </w:r>
    <w:r w:rsidR="00FC0C98" w:rsidRPr="00A96536">
      <w:tab/>
    </w:r>
    <w:r w:rsidR="00087086">
      <w:t xml:space="preserve">September </w:t>
    </w:r>
    <w:r w:rsidR="001477C2">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2D9E"/>
    <w:multiLevelType w:val="hybridMultilevel"/>
    <w:tmpl w:val="7900756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937613"/>
    <w:multiLevelType w:val="hybridMultilevel"/>
    <w:tmpl w:val="2B48B512"/>
    <w:lvl w:ilvl="0" w:tplc="69AC725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17C6A73"/>
    <w:multiLevelType w:val="hybridMultilevel"/>
    <w:tmpl w:val="528A0CE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B508A"/>
    <w:multiLevelType w:val="hybridMultilevel"/>
    <w:tmpl w:val="F3CA44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FAE015F"/>
    <w:multiLevelType w:val="hybridMultilevel"/>
    <w:tmpl w:val="04A444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5771EE"/>
    <w:multiLevelType w:val="hybridMultilevel"/>
    <w:tmpl w:val="2A5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A90DB8"/>
    <w:multiLevelType w:val="hybridMultilevel"/>
    <w:tmpl w:val="E9FAD81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F7139D"/>
    <w:multiLevelType w:val="hybridMultilevel"/>
    <w:tmpl w:val="5B38CF7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6056FEB"/>
    <w:multiLevelType w:val="hybridMultilevel"/>
    <w:tmpl w:val="B3FA1AD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3E1F26"/>
    <w:multiLevelType w:val="hybridMultilevel"/>
    <w:tmpl w:val="1A685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11"/>
  </w:num>
  <w:num w:numId="5">
    <w:abstractNumId w:val="2"/>
  </w:num>
  <w:num w:numId="6">
    <w:abstractNumId w:val="8"/>
  </w:num>
  <w:num w:numId="7">
    <w:abstractNumId w:val="0"/>
  </w:num>
  <w:num w:numId="8">
    <w:abstractNumId w:val="4"/>
  </w:num>
  <w:num w:numId="9">
    <w:abstractNumId w:val="3"/>
  </w:num>
  <w:num w:numId="10">
    <w:abstractNumId w:val="10"/>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3E"/>
    <w:rsid w:val="00003F1E"/>
    <w:rsid w:val="00004139"/>
    <w:rsid w:val="00024E6D"/>
    <w:rsid w:val="00024EAC"/>
    <w:rsid w:val="00055501"/>
    <w:rsid w:val="00066DCE"/>
    <w:rsid w:val="00071BE0"/>
    <w:rsid w:val="00072AD9"/>
    <w:rsid w:val="00073E06"/>
    <w:rsid w:val="000764AC"/>
    <w:rsid w:val="00087086"/>
    <w:rsid w:val="000B27A8"/>
    <w:rsid w:val="000E7C66"/>
    <w:rsid w:val="0010452B"/>
    <w:rsid w:val="00111A64"/>
    <w:rsid w:val="00124E33"/>
    <w:rsid w:val="00134377"/>
    <w:rsid w:val="001448F9"/>
    <w:rsid w:val="001471EA"/>
    <w:rsid w:val="001472FC"/>
    <w:rsid w:val="001477C2"/>
    <w:rsid w:val="00156BC3"/>
    <w:rsid w:val="001715EF"/>
    <w:rsid w:val="001736CC"/>
    <w:rsid w:val="00177C5C"/>
    <w:rsid w:val="001814D4"/>
    <w:rsid w:val="00185E9F"/>
    <w:rsid w:val="00192EFB"/>
    <w:rsid w:val="00193F19"/>
    <w:rsid w:val="0019701B"/>
    <w:rsid w:val="001B2550"/>
    <w:rsid w:val="001B6339"/>
    <w:rsid w:val="001C4A7A"/>
    <w:rsid w:val="001C7827"/>
    <w:rsid w:val="001D64AC"/>
    <w:rsid w:val="001D7905"/>
    <w:rsid w:val="001D7FFC"/>
    <w:rsid w:val="001E19AA"/>
    <w:rsid w:val="0020055F"/>
    <w:rsid w:val="002008E0"/>
    <w:rsid w:val="002039E2"/>
    <w:rsid w:val="00207B18"/>
    <w:rsid w:val="002117E6"/>
    <w:rsid w:val="0023201F"/>
    <w:rsid w:val="00233C13"/>
    <w:rsid w:val="00234C00"/>
    <w:rsid w:val="002352F9"/>
    <w:rsid w:val="0024033A"/>
    <w:rsid w:val="00242B78"/>
    <w:rsid w:val="002439A9"/>
    <w:rsid w:val="002454AC"/>
    <w:rsid w:val="00265D2E"/>
    <w:rsid w:val="00280E4C"/>
    <w:rsid w:val="00290FEC"/>
    <w:rsid w:val="00293DD6"/>
    <w:rsid w:val="002966CA"/>
    <w:rsid w:val="002A393F"/>
    <w:rsid w:val="002A3B4B"/>
    <w:rsid w:val="002A4338"/>
    <w:rsid w:val="002A503C"/>
    <w:rsid w:val="002A7373"/>
    <w:rsid w:val="002B01D6"/>
    <w:rsid w:val="002B313F"/>
    <w:rsid w:val="002C23FD"/>
    <w:rsid w:val="002C5369"/>
    <w:rsid w:val="002D5ADF"/>
    <w:rsid w:val="002E2477"/>
    <w:rsid w:val="002E46A4"/>
    <w:rsid w:val="002E5402"/>
    <w:rsid w:val="002F0402"/>
    <w:rsid w:val="002F3895"/>
    <w:rsid w:val="00302513"/>
    <w:rsid w:val="00303786"/>
    <w:rsid w:val="00305306"/>
    <w:rsid w:val="00306042"/>
    <w:rsid w:val="00307062"/>
    <w:rsid w:val="00320201"/>
    <w:rsid w:val="0032453E"/>
    <w:rsid w:val="00327F06"/>
    <w:rsid w:val="00335334"/>
    <w:rsid w:val="00336DDD"/>
    <w:rsid w:val="0034581A"/>
    <w:rsid w:val="003502F6"/>
    <w:rsid w:val="003513E1"/>
    <w:rsid w:val="003559B3"/>
    <w:rsid w:val="00361DBE"/>
    <w:rsid w:val="00363704"/>
    <w:rsid w:val="00381364"/>
    <w:rsid w:val="00382743"/>
    <w:rsid w:val="003828A8"/>
    <w:rsid w:val="00384A45"/>
    <w:rsid w:val="00391ACF"/>
    <w:rsid w:val="0039367A"/>
    <w:rsid w:val="003942E5"/>
    <w:rsid w:val="003B5B1D"/>
    <w:rsid w:val="003C73DB"/>
    <w:rsid w:val="003D142F"/>
    <w:rsid w:val="003E78EF"/>
    <w:rsid w:val="003F495D"/>
    <w:rsid w:val="004005B8"/>
    <w:rsid w:val="00400E77"/>
    <w:rsid w:val="0041185C"/>
    <w:rsid w:val="00420E56"/>
    <w:rsid w:val="00423090"/>
    <w:rsid w:val="00424641"/>
    <w:rsid w:val="00426F0B"/>
    <w:rsid w:val="004313DA"/>
    <w:rsid w:val="00433E7A"/>
    <w:rsid w:val="00436F4C"/>
    <w:rsid w:val="00450D6E"/>
    <w:rsid w:val="0045224C"/>
    <w:rsid w:val="00456F44"/>
    <w:rsid w:val="00467552"/>
    <w:rsid w:val="004755A2"/>
    <w:rsid w:val="00477982"/>
    <w:rsid w:val="004819E5"/>
    <w:rsid w:val="0048626B"/>
    <w:rsid w:val="0048644E"/>
    <w:rsid w:val="0049621C"/>
    <w:rsid w:val="004A49A3"/>
    <w:rsid w:val="004A6A06"/>
    <w:rsid w:val="004C07F5"/>
    <w:rsid w:val="004D0B6D"/>
    <w:rsid w:val="004E2C19"/>
    <w:rsid w:val="004E59C7"/>
    <w:rsid w:val="004F7239"/>
    <w:rsid w:val="00501008"/>
    <w:rsid w:val="00506643"/>
    <w:rsid w:val="00514C96"/>
    <w:rsid w:val="00515D6B"/>
    <w:rsid w:val="00522892"/>
    <w:rsid w:val="00526687"/>
    <w:rsid w:val="005377F7"/>
    <w:rsid w:val="00542695"/>
    <w:rsid w:val="00544465"/>
    <w:rsid w:val="00556024"/>
    <w:rsid w:val="005579A8"/>
    <w:rsid w:val="00561190"/>
    <w:rsid w:val="0056562E"/>
    <w:rsid w:val="005658F1"/>
    <w:rsid w:val="00565B47"/>
    <w:rsid w:val="005741CF"/>
    <w:rsid w:val="00575A5A"/>
    <w:rsid w:val="00580009"/>
    <w:rsid w:val="005932D0"/>
    <w:rsid w:val="00597F9B"/>
    <w:rsid w:val="005A49AC"/>
    <w:rsid w:val="005A5E83"/>
    <w:rsid w:val="005B3551"/>
    <w:rsid w:val="005B7CAE"/>
    <w:rsid w:val="005C05D7"/>
    <w:rsid w:val="005C6B76"/>
    <w:rsid w:val="005C7C65"/>
    <w:rsid w:val="005D0EDC"/>
    <w:rsid w:val="005D3B9E"/>
    <w:rsid w:val="005D3E66"/>
    <w:rsid w:val="005D5319"/>
    <w:rsid w:val="005D5B4D"/>
    <w:rsid w:val="005E4F35"/>
    <w:rsid w:val="005F1548"/>
    <w:rsid w:val="005F177D"/>
    <w:rsid w:val="005F23E0"/>
    <w:rsid w:val="00605481"/>
    <w:rsid w:val="0061446D"/>
    <w:rsid w:val="0061576D"/>
    <w:rsid w:val="00625397"/>
    <w:rsid w:val="00634ECE"/>
    <w:rsid w:val="0064138E"/>
    <w:rsid w:val="00652F9A"/>
    <w:rsid w:val="00666675"/>
    <w:rsid w:val="0068267D"/>
    <w:rsid w:val="00693994"/>
    <w:rsid w:val="006970A6"/>
    <w:rsid w:val="006A08AD"/>
    <w:rsid w:val="006A2F0E"/>
    <w:rsid w:val="006A5A29"/>
    <w:rsid w:val="006A75E3"/>
    <w:rsid w:val="006B5B9E"/>
    <w:rsid w:val="006C08EE"/>
    <w:rsid w:val="006C5A9D"/>
    <w:rsid w:val="006D0316"/>
    <w:rsid w:val="006E63DC"/>
    <w:rsid w:val="006F06FD"/>
    <w:rsid w:val="0070126E"/>
    <w:rsid w:val="00703FF3"/>
    <w:rsid w:val="00705254"/>
    <w:rsid w:val="00705B86"/>
    <w:rsid w:val="00705FA6"/>
    <w:rsid w:val="00711226"/>
    <w:rsid w:val="00725074"/>
    <w:rsid w:val="007260A2"/>
    <w:rsid w:val="00727A49"/>
    <w:rsid w:val="007316EF"/>
    <w:rsid w:val="00733707"/>
    <w:rsid w:val="0074751D"/>
    <w:rsid w:val="00751434"/>
    <w:rsid w:val="00753BB6"/>
    <w:rsid w:val="007660AD"/>
    <w:rsid w:val="00784F67"/>
    <w:rsid w:val="007A4B0F"/>
    <w:rsid w:val="007A5DD1"/>
    <w:rsid w:val="007B393E"/>
    <w:rsid w:val="00813AD2"/>
    <w:rsid w:val="0081618E"/>
    <w:rsid w:val="008169A6"/>
    <w:rsid w:val="0082186E"/>
    <w:rsid w:val="008228E2"/>
    <w:rsid w:val="008234B4"/>
    <w:rsid w:val="008262C7"/>
    <w:rsid w:val="00832916"/>
    <w:rsid w:val="00834DE8"/>
    <w:rsid w:val="00834E23"/>
    <w:rsid w:val="00842CA0"/>
    <w:rsid w:val="00853BD6"/>
    <w:rsid w:val="00860C00"/>
    <w:rsid w:val="00860C86"/>
    <w:rsid w:val="008646E6"/>
    <w:rsid w:val="00866475"/>
    <w:rsid w:val="00866477"/>
    <w:rsid w:val="00867254"/>
    <w:rsid w:val="00881626"/>
    <w:rsid w:val="00885717"/>
    <w:rsid w:val="00890259"/>
    <w:rsid w:val="00893360"/>
    <w:rsid w:val="008A4B1F"/>
    <w:rsid w:val="008A5994"/>
    <w:rsid w:val="008A6B41"/>
    <w:rsid w:val="008B2A19"/>
    <w:rsid w:val="008B767F"/>
    <w:rsid w:val="008C0B20"/>
    <w:rsid w:val="008C4DD5"/>
    <w:rsid w:val="008D4E53"/>
    <w:rsid w:val="008D6FFE"/>
    <w:rsid w:val="008E2C94"/>
    <w:rsid w:val="008F3C85"/>
    <w:rsid w:val="008F7FA4"/>
    <w:rsid w:val="00910C4A"/>
    <w:rsid w:val="009114FF"/>
    <w:rsid w:val="00912280"/>
    <w:rsid w:val="00927FF3"/>
    <w:rsid w:val="009313D2"/>
    <w:rsid w:val="00937283"/>
    <w:rsid w:val="0094124E"/>
    <w:rsid w:val="009500E9"/>
    <w:rsid w:val="00957422"/>
    <w:rsid w:val="009654E0"/>
    <w:rsid w:val="00966C24"/>
    <w:rsid w:val="009701FC"/>
    <w:rsid w:val="0099331E"/>
    <w:rsid w:val="00993F10"/>
    <w:rsid w:val="009A2700"/>
    <w:rsid w:val="009B3B88"/>
    <w:rsid w:val="009B74C6"/>
    <w:rsid w:val="009B7EF0"/>
    <w:rsid w:val="009C01D1"/>
    <w:rsid w:val="009C08EC"/>
    <w:rsid w:val="009C47F7"/>
    <w:rsid w:val="009C627D"/>
    <w:rsid w:val="009D0D57"/>
    <w:rsid w:val="009E12E4"/>
    <w:rsid w:val="009F77B3"/>
    <w:rsid w:val="00A0033F"/>
    <w:rsid w:val="00A0554C"/>
    <w:rsid w:val="00A06663"/>
    <w:rsid w:val="00A13C75"/>
    <w:rsid w:val="00A150F0"/>
    <w:rsid w:val="00A22246"/>
    <w:rsid w:val="00A227B5"/>
    <w:rsid w:val="00A241FE"/>
    <w:rsid w:val="00A35CD0"/>
    <w:rsid w:val="00A42EDC"/>
    <w:rsid w:val="00A44D6C"/>
    <w:rsid w:val="00A46FC1"/>
    <w:rsid w:val="00A57B08"/>
    <w:rsid w:val="00A606B1"/>
    <w:rsid w:val="00A66771"/>
    <w:rsid w:val="00A76AFC"/>
    <w:rsid w:val="00A81287"/>
    <w:rsid w:val="00A830DE"/>
    <w:rsid w:val="00A91A72"/>
    <w:rsid w:val="00A93B7A"/>
    <w:rsid w:val="00AA2A02"/>
    <w:rsid w:val="00AA38E6"/>
    <w:rsid w:val="00AA4F96"/>
    <w:rsid w:val="00AA70C7"/>
    <w:rsid w:val="00AB0B03"/>
    <w:rsid w:val="00AC0B64"/>
    <w:rsid w:val="00AC1A69"/>
    <w:rsid w:val="00AD25B1"/>
    <w:rsid w:val="00AD4E23"/>
    <w:rsid w:val="00AD6C2D"/>
    <w:rsid w:val="00AE4F02"/>
    <w:rsid w:val="00AF5FC0"/>
    <w:rsid w:val="00B049A4"/>
    <w:rsid w:val="00B04E5C"/>
    <w:rsid w:val="00B1045C"/>
    <w:rsid w:val="00B10704"/>
    <w:rsid w:val="00B32DA1"/>
    <w:rsid w:val="00B42121"/>
    <w:rsid w:val="00B4379C"/>
    <w:rsid w:val="00B43B95"/>
    <w:rsid w:val="00B43C56"/>
    <w:rsid w:val="00B54081"/>
    <w:rsid w:val="00B55747"/>
    <w:rsid w:val="00B606EE"/>
    <w:rsid w:val="00B704AE"/>
    <w:rsid w:val="00B723E4"/>
    <w:rsid w:val="00B80861"/>
    <w:rsid w:val="00B93737"/>
    <w:rsid w:val="00B93E30"/>
    <w:rsid w:val="00B945EA"/>
    <w:rsid w:val="00B96893"/>
    <w:rsid w:val="00BA0A5A"/>
    <w:rsid w:val="00BB0270"/>
    <w:rsid w:val="00BC0D30"/>
    <w:rsid w:val="00BC329E"/>
    <w:rsid w:val="00BC4BB1"/>
    <w:rsid w:val="00BC7D72"/>
    <w:rsid w:val="00BE1F34"/>
    <w:rsid w:val="00BE717D"/>
    <w:rsid w:val="00BE7E66"/>
    <w:rsid w:val="00C16794"/>
    <w:rsid w:val="00C240E2"/>
    <w:rsid w:val="00C26879"/>
    <w:rsid w:val="00C30956"/>
    <w:rsid w:val="00C32166"/>
    <w:rsid w:val="00C3695F"/>
    <w:rsid w:val="00C40292"/>
    <w:rsid w:val="00C451EE"/>
    <w:rsid w:val="00C55F55"/>
    <w:rsid w:val="00C671F3"/>
    <w:rsid w:val="00C70887"/>
    <w:rsid w:val="00C72221"/>
    <w:rsid w:val="00C85239"/>
    <w:rsid w:val="00C972A5"/>
    <w:rsid w:val="00CC4247"/>
    <w:rsid w:val="00CC75CC"/>
    <w:rsid w:val="00CD0CB6"/>
    <w:rsid w:val="00CD1258"/>
    <w:rsid w:val="00CD5C1E"/>
    <w:rsid w:val="00CE07F2"/>
    <w:rsid w:val="00CE5C90"/>
    <w:rsid w:val="00CE75E8"/>
    <w:rsid w:val="00D03AE2"/>
    <w:rsid w:val="00D14C03"/>
    <w:rsid w:val="00D44042"/>
    <w:rsid w:val="00D47936"/>
    <w:rsid w:val="00D521E7"/>
    <w:rsid w:val="00D53AAD"/>
    <w:rsid w:val="00D5626B"/>
    <w:rsid w:val="00D746E5"/>
    <w:rsid w:val="00D86CAA"/>
    <w:rsid w:val="00D92957"/>
    <w:rsid w:val="00DA2630"/>
    <w:rsid w:val="00DA2668"/>
    <w:rsid w:val="00DB4FA3"/>
    <w:rsid w:val="00DB7840"/>
    <w:rsid w:val="00DC17B6"/>
    <w:rsid w:val="00DC2DFA"/>
    <w:rsid w:val="00DC3CD0"/>
    <w:rsid w:val="00DC6A98"/>
    <w:rsid w:val="00DD0C92"/>
    <w:rsid w:val="00DD4ACA"/>
    <w:rsid w:val="00DD5D52"/>
    <w:rsid w:val="00DD6058"/>
    <w:rsid w:val="00DE127B"/>
    <w:rsid w:val="00DE5C3E"/>
    <w:rsid w:val="00DF08EE"/>
    <w:rsid w:val="00E03DF5"/>
    <w:rsid w:val="00E06D3D"/>
    <w:rsid w:val="00E12592"/>
    <w:rsid w:val="00E17054"/>
    <w:rsid w:val="00E23218"/>
    <w:rsid w:val="00E369B7"/>
    <w:rsid w:val="00E42F9F"/>
    <w:rsid w:val="00E51D5C"/>
    <w:rsid w:val="00E63586"/>
    <w:rsid w:val="00E71039"/>
    <w:rsid w:val="00E76886"/>
    <w:rsid w:val="00E819BF"/>
    <w:rsid w:val="00E85276"/>
    <w:rsid w:val="00E92EB5"/>
    <w:rsid w:val="00E97404"/>
    <w:rsid w:val="00EA1D3B"/>
    <w:rsid w:val="00EA2F26"/>
    <w:rsid w:val="00EA5BA4"/>
    <w:rsid w:val="00EA6D34"/>
    <w:rsid w:val="00EB40A5"/>
    <w:rsid w:val="00EB63C5"/>
    <w:rsid w:val="00EE5043"/>
    <w:rsid w:val="00EE7759"/>
    <w:rsid w:val="00EF07FC"/>
    <w:rsid w:val="00EF213E"/>
    <w:rsid w:val="00EF2C47"/>
    <w:rsid w:val="00EF4677"/>
    <w:rsid w:val="00EF61B4"/>
    <w:rsid w:val="00F02CC1"/>
    <w:rsid w:val="00F239E3"/>
    <w:rsid w:val="00F242E6"/>
    <w:rsid w:val="00F3567E"/>
    <w:rsid w:val="00F408EE"/>
    <w:rsid w:val="00F5486A"/>
    <w:rsid w:val="00F56262"/>
    <w:rsid w:val="00F56B79"/>
    <w:rsid w:val="00F6248A"/>
    <w:rsid w:val="00F6646D"/>
    <w:rsid w:val="00F66BA6"/>
    <w:rsid w:val="00F67604"/>
    <w:rsid w:val="00F701E3"/>
    <w:rsid w:val="00F7051B"/>
    <w:rsid w:val="00F75A3D"/>
    <w:rsid w:val="00F81745"/>
    <w:rsid w:val="00F834F7"/>
    <w:rsid w:val="00F837AD"/>
    <w:rsid w:val="00F86DEA"/>
    <w:rsid w:val="00F90DE1"/>
    <w:rsid w:val="00F9394E"/>
    <w:rsid w:val="00F943FB"/>
    <w:rsid w:val="00F9793C"/>
    <w:rsid w:val="00FA0CF0"/>
    <w:rsid w:val="00FC0C98"/>
    <w:rsid w:val="00FC16F3"/>
    <w:rsid w:val="00FC2CDB"/>
    <w:rsid w:val="00FC31FA"/>
    <w:rsid w:val="00FE6B97"/>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9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552"/>
    <w:pPr>
      <w:spacing w:after="200" w:line="240" w:lineRule="auto"/>
    </w:pPr>
  </w:style>
  <w:style w:type="paragraph" w:styleId="Heading1">
    <w:name w:val="heading 1"/>
    <w:basedOn w:val="Normal"/>
    <w:next w:val="Normal"/>
    <w:link w:val="Heading1Char"/>
    <w:uiPriority w:val="9"/>
    <w:qFormat/>
    <w:rsid w:val="00DC6A98"/>
    <w:pPr>
      <w:keepNext/>
      <w:spacing w:before="360" w:after="240"/>
      <w:outlineLvl w:val="0"/>
    </w:pPr>
    <w:rPr>
      <w:rFonts w:asciiTheme="majorHAnsi" w:eastAsiaTheme="majorEastAsia" w:hAnsiTheme="majorHAnsi" w:cstheme="majorBidi"/>
      <w:b/>
      <w:sz w:val="48"/>
      <w:szCs w:val="32"/>
      <w:lang w:eastAsia="en-US"/>
    </w:rPr>
  </w:style>
  <w:style w:type="paragraph" w:styleId="Heading2">
    <w:name w:val="heading 2"/>
    <w:basedOn w:val="Normal"/>
    <w:next w:val="Normal"/>
    <w:link w:val="Heading2Char"/>
    <w:uiPriority w:val="9"/>
    <w:unhideWhenUsed/>
    <w:qFormat/>
    <w:rsid w:val="00242B78"/>
    <w:pPr>
      <w:keepNext/>
      <w:outlineLvl w:val="1"/>
    </w:pPr>
    <w:rPr>
      <w:rFonts w:asciiTheme="majorHAnsi" w:eastAsiaTheme="majorEastAsia" w:hAnsiTheme="majorHAnsi" w:cstheme="majorBidi"/>
      <w:b/>
      <w:color w:val="554B87"/>
      <w:sz w:val="36"/>
      <w:szCs w:val="26"/>
      <w:lang w:eastAsia="en-US"/>
    </w:rPr>
  </w:style>
  <w:style w:type="paragraph" w:styleId="Heading3">
    <w:name w:val="heading 3"/>
    <w:basedOn w:val="Normal"/>
    <w:next w:val="Normal"/>
    <w:link w:val="Heading3Char"/>
    <w:uiPriority w:val="9"/>
    <w:unhideWhenUsed/>
    <w:qFormat/>
    <w:rsid w:val="00242B78"/>
    <w:pPr>
      <w:keepNext/>
      <w:spacing w:after="120"/>
      <w:outlineLvl w:val="2"/>
    </w:pPr>
    <w:rPr>
      <w:rFonts w:asciiTheme="majorHAnsi" w:eastAsiaTheme="majorEastAsia" w:hAnsiTheme="majorHAnsi" w:cstheme="majorBidi"/>
      <w:b/>
      <w:color w:val="554B87"/>
      <w:sz w:val="30"/>
      <w:szCs w:val="24"/>
      <w:lang w:eastAsia="en-US"/>
    </w:rPr>
  </w:style>
  <w:style w:type="paragraph" w:styleId="Heading4">
    <w:name w:val="heading 4"/>
    <w:basedOn w:val="Normal"/>
    <w:next w:val="Normal"/>
    <w:link w:val="Heading4Char"/>
    <w:uiPriority w:val="9"/>
    <w:unhideWhenUsed/>
    <w:qFormat/>
    <w:rsid w:val="00242B78"/>
    <w:pPr>
      <w:keepNext/>
      <w:keepLines/>
      <w:spacing w:after="120"/>
      <w:outlineLvl w:val="3"/>
    </w:pPr>
    <w:rPr>
      <w:rFonts w:asciiTheme="majorHAnsi" w:eastAsiaTheme="majorEastAsia" w:hAnsiTheme="majorHAnsi" w:cstheme="majorBidi"/>
      <w:b/>
      <w:bCs/>
      <w:color w:val="554B87"/>
      <w:sz w:val="24"/>
      <w:szCs w:val="24"/>
    </w:rPr>
  </w:style>
  <w:style w:type="paragraph" w:styleId="Heading5">
    <w:name w:val="heading 5"/>
    <w:basedOn w:val="Normal"/>
    <w:next w:val="Normal"/>
    <w:link w:val="Heading5Char"/>
    <w:uiPriority w:val="9"/>
    <w:unhideWhenUsed/>
    <w:qFormat/>
    <w:rsid w:val="00242B78"/>
    <w:pPr>
      <w:keepNext/>
      <w:keepLines/>
      <w:spacing w:after="60"/>
      <w:outlineLvl w:val="4"/>
    </w:pPr>
    <w:rPr>
      <w:rFonts w:asciiTheme="majorHAnsi" w:eastAsiaTheme="majorEastAsia" w:hAnsiTheme="majorHAnsi" w:cstheme="majorBidi"/>
      <w:b/>
      <w:color w:val="554B87"/>
    </w:rPr>
  </w:style>
  <w:style w:type="paragraph" w:styleId="Heading6">
    <w:name w:val="heading 6"/>
    <w:basedOn w:val="Normal"/>
    <w:next w:val="Normal"/>
    <w:link w:val="Heading6Char"/>
    <w:uiPriority w:val="9"/>
    <w:unhideWhenUsed/>
    <w:qFormat/>
    <w:rsid w:val="00242B78"/>
    <w:pPr>
      <w:keepNext/>
      <w:keepLines/>
      <w:spacing w:after="60"/>
      <w:outlineLvl w:val="5"/>
    </w:pPr>
    <w:rPr>
      <w:rFonts w:asciiTheme="majorHAnsi" w:eastAsiaTheme="majorEastAsia" w:hAnsiTheme="majorHAnsi" w:cstheme="majorBidi"/>
      <w:b/>
      <w:i/>
      <w:iCs/>
      <w:color w:val="554B87"/>
    </w:rPr>
  </w:style>
  <w:style w:type="paragraph" w:styleId="Heading7">
    <w:name w:val="heading 7"/>
    <w:basedOn w:val="Normal"/>
    <w:next w:val="Normal"/>
    <w:link w:val="Heading7Char"/>
    <w:uiPriority w:val="9"/>
    <w:unhideWhenUsed/>
    <w:qFormat/>
    <w:rsid w:val="00242B78"/>
    <w:pPr>
      <w:keepNext/>
      <w:keepLines/>
      <w:spacing w:before="40" w:after="0"/>
      <w:outlineLvl w:val="6"/>
    </w:pPr>
    <w:rPr>
      <w:rFonts w:asciiTheme="majorHAnsi" w:eastAsiaTheme="majorEastAsia" w:hAnsiTheme="majorHAnsi" w:cstheme="majorBidi"/>
      <w:b/>
      <w:i/>
      <w:iCs/>
      <w:color w:val="554B87"/>
    </w:rPr>
  </w:style>
  <w:style w:type="paragraph" w:styleId="Heading8">
    <w:name w:val="heading 8"/>
    <w:basedOn w:val="Normal"/>
    <w:next w:val="Normal"/>
    <w:link w:val="Heading8Char"/>
    <w:uiPriority w:val="9"/>
    <w:unhideWhenUsed/>
    <w:qFormat/>
    <w:rsid w:val="00242B78"/>
    <w:pPr>
      <w:keepNext/>
      <w:keepLines/>
      <w:spacing w:before="40" w:after="0"/>
      <w:outlineLvl w:val="7"/>
    </w:pPr>
    <w:rPr>
      <w:rFonts w:asciiTheme="majorHAnsi" w:eastAsiaTheme="majorEastAsia" w:hAnsiTheme="majorHAnsi" w:cstheme="majorBidi"/>
      <w:b/>
      <w:color w:val="554B87"/>
      <w:sz w:val="21"/>
      <w:szCs w:val="21"/>
    </w:rPr>
  </w:style>
  <w:style w:type="paragraph" w:styleId="Heading9">
    <w:name w:val="heading 9"/>
    <w:basedOn w:val="Normal"/>
    <w:next w:val="Normal"/>
    <w:link w:val="Heading9Char"/>
    <w:uiPriority w:val="9"/>
    <w:unhideWhenUsed/>
    <w:qFormat/>
    <w:rsid w:val="00242B78"/>
    <w:pPr>
      <w:keepNext/>
      <w:keepLines/>
      <w:spacing w:before="40" w:after="0"/>
      <w:outlineLvl w:val="8"/>
    </w:pPr>
    <w:rPr>
      <w:rFonts w:asciiTheme="majorHAnsi" w:eastAsiaTheme="majorEastAsia" w:hAnsiTheme="majorHAnsi" w:cstheme="majorBidi"/>
      <w:b/>
      <w:i/>
      <w:iCs/>
      <w:color w:val="554B8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A98"/>
    <w:rPr>
      <w:rFonts w:asciiTheme="majorHAnsi" w:eastAsiaTheme="majorEastAsia" w:hAnsiTheme="majorHAnsi" w:cstheme="majorBidi"/>
      <w:b/>
      <w:sz w:val="48"/>
      <w:szCs w:val="32"/>
      <w:lang w:eastAsia="en-US"/>
    </w:rPr>
  </w:style>
  <w:style w:type="character" w:customStyle="1" w:styleId="Heading2Char">
    <w:name w:val="Heading 2 Char"/>
    <w:basedOn w:val="DefaultParagraphFont"/>
    <w:link w:val="Heading2"/>
    <w:uiPriority w:val="9"/>
    <w:rsid w:val="00242B78"/>
    <w:rPr>
      <w:rFonts w:asciiTheme="majorHAnsi" w:eastAsiaTheme="majorEastAsia" w:hAnsiTheme="majorHAnsi" w:cstheme="majorBidi"/>
      <w:b/>
      <w:color w:val="554B87"/>
      <w:sz w:val="36"/>
      <w:szCs w:val="26"/>
      <w:lang w:eastAsia="en-US"/>
    </w:rPr>
  </w:style>
  <w:style w:type="character" w:customStyle="1" w:styleId="Heading3Char">
    <w:name w:val="Heading 3 Char"/>
    <w:basedOn w:val="DefaultParagraphFont"/>
    <w:link w:val="Heading3"/>
    <w:uiPriority w:val="9"/>
    <w:rsid w:val="00242B78"/>
    <w:rPr>
      <w:rFonts w:asciiTheme="majorHAnsi" w:eastAsiaTheme="majorEastAsia" w:hAnsiTheme="majorHAnsi" w:cstheme="majorBidi"/>
      <w:b/>
      <w:color w:val="554B87"/>
      <w:sz w:val="30"/>
      <w:szCs w:val="24"/>
      <w:lang w:eastAsia="en-US"/>
    </w:rPr>
  </w:style>
  <w:style w:type="character" w:styleId="Hyperlink">
    <w:name w:val="Hyperlink"/>
    <w:basedOn w:val="DefaultParagraphFont"/>
    <w:uiPriority w:val="99"/>
    <w:unhideWhenUsed/>
    <w:rsid w:val="00F56262"/>
    <w:rPr>
      <w:b/>
      <w:color w:val="554B87"/>
      <w:u w:val="single"/>
    </w:rPr>
  </w:style>
  <w:style w:type="paragraph" w:customStyle="1" w:styleId="Bulletlevel1">
    <w:name w:val="Bullet level 1"/>
    <w:basedOn w:val="Normal"/>
    <w:qFormat/>
    <w:rsid w:val="002117E6"/>
    <w:pPr>
      <w:numPr>
        <w:numId w:val="1"/>
      </w:numPr>
      <w:ind w:left="567" w:hanging="567"/>
      <w:contextualSpacing/>
    </w:pPr>
    <w:rPr>
      <w:rFonts w:eastAsiaTheme="minorHAnsi"/>
      <w:lang w:eastAsia="en-US"/>
    </w:rPr>
  </w:style>
  <w:style w:type="paragraph" w:styleId="Quote">
    <w:name w:val="Quote"/>
    <w:basedOn w:val="Normal"/>
    <w:next w:val="Normal"/>
    <w:link w:val="QuoteChar"/>
    <w:uiPriority w:val="29"/>
    <w:qFormat/>
    <w:rsid w:val="00467552"/>
    <w:pPr>
      <w:ind w:left="567"/>
    </w:pPr>
    <w:rPr>
      <w:rFonts w:eastAsiaTheme="minorHAnsi"/>
      <w:b/>
      <w:i/>
      <w:iCs/>
      <w:color w:val="554B87"/>
      <w:lang w:eastAsia="en-US"/>
    </w:rPr>
  </w:style>
  <w:style w:type="character" w:customStyle="1" w:styleId="QuoteChar">
    <w:name w:val="Quote Char"/>
    <w:basedOn w:val="DefaultParagraphFont"/>
    <w:link w:val="Quote"/>
    <w:uiPriority w:val="29"/>
    <w:rsid w:val="00467552"/>
    <w:rPr>
      <w:rFonts w:eastAsiaTheme="minorHAnsi"/>
      <w:b/>
      <w:i/>
      <w:iCs/>
      <w:color w:val="554B87"/>
      <w:lang w:eastAsia="en-US"/>
    </w:rPr>
  </w:style>
  <w:style w:type="paragraph" w:styleId="Header">
    <w:name w:val="header"/>
    <w:basedOn w:val="Normal"/>
    <w:link w:val="HeaderChar"/>
    <w:uiPriority w:val="99"/>
    <w:unhideWhenUsed/>
    <w:rsid w:val="002117E6"/>
    <w:pPr>
      <w:tabs>
        <w:tab w:val="center" w:pos="4513"/>
        <w:tab w:val="right" w:pos="9026"/>
      </w:tabs>
      <w:spacing w:after="0"/>
    </w:pPr>
  </w:style>
  <w:style w:type="character" w:customStyle="1" w:styleId="HeaderChar">
    <w:name w:val="Header Char"/>
    <w:basedOn w:val="DefaultParagraphFont"/>
    <w:link w:val="Header"/>
    <w:uiPriority w:val="99"/>
    <w:rsid w:val="002117E6"/>
  </w:style>
  <w:style w:type="paragraph" w:styleId="Footer">
    <w:name w:val="footer"/>
    <w:basedOn w:val="Normal"/>
    <w:link w:val="FooterChar"/>
    <w:uiPriority w:val="99"/>
    <w:unhideWhenUsed/>
    <w:rsid w:val="002117E6"/>
    <w:pPr>
      <w:tabs>
        <w:tab w:val="center" w:pos="4513"/>
        <w:tab w:val="right" w:pos="9026"/>
      </w:tabs>
      <w:spacing w:after="0"/>
    </w:pPr>
  </w:style>
  <w:style w:type="character" w:customStyle="1" w:styleId="FooterChar">
    <w:name w:val="Footer Char"/>
    <w:basedOn w:val="DefaultParagraphFont"/>
    <w:link w:val="Footer"/>
    <w:uiPriority w:val="99"/>
    <w:rsid w:val="002117E6"/>
  </w:style>
  <w:style w:type="character" w:customStyle="1" w:styleId="Heading4Char">
    <w:name w:val="Heading 4 Char"/>
    <w:basedOn w:val="DefaultParagraphFont"/>
    <w:link w:val="Heading4"/>
    <w:uiPriority w:val="9"/>
    <w:rsid w:val="00242B78"/>
    <w:rPr>
      <w:rFonts w:asciiTheme="majorHAnsi" w:eastAsiaTheme="majorEastAsia" w:hAnsiTheme="majorHAnsi" w:cstheme="majorBidi"/>
      <w:b/>
      <w:bCs/>
      <w:color w:val="554B87"/>
      <w:sz w:val="24"/>
      <w:szCs w:val="24"/>
    </w:rPr>
  </w:style>
  <w:style w:type="character" w:customStyle="1" w:styleId="Heading5Char">
    <w:name w:val="Heading 5 Char"/>
    <w:basedOn w:val="DefaultParagraphFont"/>
    <w:link w:val="Heading5"/>
    <w:uiPriority w:val="9"/>
    <w:rsid w:val="00242B78"/>
    <w:rPr>
      <w:rFonts w:asciiTheme="majorHAnsi" w:eastAsiaTheme="majorEastAsia" w:hAnsiTheme="majorHAnsi" w:cstheme="majorBidi"/>
      <w:b/>
      <w:color w:val="554B87"/>
    </w:rPr>
  </w:style>
  <w:style w:type="table" w:styleId="TableGrid">
    <w:name w:val="Table Grid"/>
    <w:basedOn w:val="TableNormal"/>
    <w:uiPriority w:val="39"/>
    <w:rsid w:val="002117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8B767F"/>
    <w:pPr>
      <w:keepNext/>
      <w:spacing w:after="0"/>
    </w:pPr>
    <w:rPr>
      <w:rFonts w:asciiTheme="majorHAnsi" w:eastAsiaTheme="minorHAnsi" w:hAnsiTheme="majorHAnsi"/>
      <w:b/>
      <w:color w:val="554B87"/>
      <w:lang w:eastAsia="en-US"/>
    </w:rPr>
  </w:style>
  <w:style w:type="paragraph" w:customStyle="1" w:styleId="Tabletextcentred">
    <w:name w:val="Table text centred"/>
    <w:basedOn w:val="Normal"/>
    <w:next w:val="NoSpacing"/>
    <w:rsid w:val="002117E6"/>
    <w:pPr>
      <w:spacing w:after="0"/>
      <w:jc w:val="center"/>
    </w:pPr>
    <w:rPr>
      <w:rFonts w:eastAsia="Times New Roman" w:cs="Times New Roman"/>
      <w:szCs w:val="20"/>
      <w:lang w:eastAsia="en-US"/>
    </w:rPr>
  </w:style>
  <w:style w:type="paragraph" w:customStyle="1" w:styleId="Tablerowcolumnheadingcentred">
    <w:name w:val="Table row/column heading centred"/>
    <w:basedOn w:val="Normal"/>
    <w:next w:val="Normal"/>
    <w:rsid w:val="002117E6"/>
    <w:pPr>
      <w:spacing w:after="0"/>
      <w:jc w:val="center"/>
    </w:pPr>
    <w:rPr>
      <w:rFonts w:eastAsia="Times New Roman" w:cs="Times New Roman"/>
      <w:b/>
      <w:bCs/>
      <w:szCs w:val="20"/>
      <w:lang w:eastAsia="en-US"/>
    </w:rPr>
  </w:style>
  <w:style w:type="paragraph" w:customStyle="1" w:styleId="Tabletext">
    <w:name w:val="Table text"/>
    <w:basedOn w:val="Tabletextcentred"/>
    <w:qFormat/>
    <w:rsid w:val="002117E6"/>
    <w:pPr>
      <w:jc w:val="left"/>
    </w:pPr>
  </w:style>
  <w:style w:type="paragraph" w:styleId="NoSpacing">
    <w:name w:val="No Spacing"/>
    <w:uiPriority w:val="1"/>
    <w:qFormat/>
    <w:rsid w:val="002117E6"/>
    <w:pPr>
      <w:spacing w:after="0" w:line="240" w:lineRule="auto"/>
    </w:pPr>
  </w:style>
  <w:style w:type="paragraph" w:customStyle="1" w:styleId="Tablerowcolumnheading">
    <w:name w:val="Table row/column heading"/>
    <w:basedOn w:val="Normal"/>
    <w:next w:val="Normal"/>
    <w:rsid w:val="002117E6"/>
    <w:pPr>
      <w:spacing w:after="0"/>
    </w:pPr>
    <w:rPr>
      <w:rFonts w:eastAsia="Times New Roman" w:cs="Times New Roman"/>
      <w:b/>
      <w:bCs/>
      <w:szCs w:val="20"/>
      <w:lang w:eastAsia="en-US"/>
    </w:rPr>
  </w:style>
  <w:style w:type="paragraph" w:customStyle="1" w:styleId="Checkboxemptybulletpoint">
    <w:name w:val="Check box empty bullet point"/>
    <w:basedOn w:val="Bulletlevel1"/>
    <w:qFormat/>
    <w:rsid w:val="002117E6"/>
    <w:pPr>
      <w:numPr>
        <w:numId w:val="2"/>
      </w:numPr>
      <w:spacing w:after="0"/>
      <w:ind w:left="567" w:hanging="567"/>
    </w:pPr>
  </w:style>
  <w:style w:type="character" w:customStyle="1" w:styleId="Heading6Char">
    <w:name w:val="Heading 6 Char"/>
    <w:basedOn w:val="DefaultParagraphFont"/>
    <w:link w:val="Heading6"/>
    <w:uiPriority w:val="9"/>
    <w:rsid w:val="00242B78"/>
    <w:rPr>
      <w:rFonts w:asciiTheme="majorHAnsi" w:eastAsiaTheme="majorEastAsia" w:hAnsiTheme="majorHAnsi" w:cstheme="majorBidi"/>
      <w:b/>
      <w:i/>
      <w:iCs/>
      <w:color w:val="554B87"/>
    </w:rPr>
  </w:style>
  <w:style w:type="character" w:customStyle="1" w:styleId="Heading7Char">
    <w:name w:val="Heading 7 Char"/>
    <w:basedOn w:val="DefaultParagraphFont"/>
    <w:link w:val="Heading7"/>
    <w:uiPriority w:val="9"/>
    <w:rsid w:val="00242B78"/>
    <w:rPr>
      <w:rFonts w:asciiTheme="majorHAnsi" w:eastAsiaTheme="majorEastAsia" w:hAnsiTheme="majorHAnsi" w:cstheme="majorBidi"/>
      <w:b/>
      <w:i/>
      <w:iCs/>
      <w:color w:val="554B87"/>
    </w:rPr>
  </w:style>
  <w:style w:type="character" w:customStyle="1" w:styleId="Heading8Char">
    <w:name w:val="Heading 8 Char"/>
    <w:basedOn w:val="DefaultParagraphFont"/>
    <w:link w:val="Heading8"/>
    <w:uiPriority w:val="9"/>
    <w:rsid w:val="00242B78"/>
    <w:rPr>
      <w:rFonts w:asciiTheme="majorHAnsi" w:eastAsiaTheme="majorEastAsia" w:hAnsiTheme="majorHAnsi" w:cstheme="majorBidi"/>
      <w:b/>
      <w:color w:val="554B87"/>
      <w:sz w:val="21"/>
      <w:szCs w:val="21"/>
    </w:rPr>
  </w:style>
  <w:style w:type="character" w:customStyle="1" w:styleId="Heading9Char">
    <w:name w:val="Heading 9 Char"/>
    <w:basedOn w:val="DefaultParagraphFont"/>
    <w:link w:val="Heading9"/>
    <w:uiPriority w:val="9"/>
    <w:rsid w:val="00242B78"/>
    <w:rPr>
      <w:rFonts w:asciiTheme="majorHAnsi" w:eastAsiaTheme="majorEastAsia" w:hAnsiTheme="majorHAnsi" w:cstheme="majorBidi"/>
      <w:b/>
      <w:i/>
      <w:iCs/>
      <w:color w:val="554B87"/>
      <w:szCs w:val="21"/>
    </w:rPr>
  </w:style>
  <w:style w:type="character" w:styleId="PlaceholderText">
    <w:name w:val="Placeholder Text"/>
    <w:basedOn w:val="DefaultParagraphFont"/>
    <w:uiPriority w:val="99"/>
    <w:semiHidden/>
    <w:rsid w:val="0064138E"/>
    <w:rPr>
      <w:color w:val="808080"/>
    </w:rPr>
  </w:style>
  <w:style w:type="character" w:styleId="FollowedHyperlink">
    <w:name w:val="FollowedHyperlink"/>
    <w:basedOn w:val="DefaultParagraphFont"/>
    <w:uiPriority w:val="99"/>
    <w:semiHidden/>
    <w:unhideWhenUsed/>
    <w:rsid w:val="009B7EF0"/>
    <w:rPr>
      <w:color w:val="155589" w:themeColor="followedHyperlink"/>
      <w:u w:val="single"/>
    </w:rPr>
  </w:style>
  <w:style w:type="character" w:customStyle="1" w:styleId="UnresolvedMention1">
    <w:name w:val="Unresolved Mention1"/>
    <w:basedOn w:val="DefaultParagraphFont"/>
    <w:uiPriority w:val="99"/>
    <w:semiHidden/>
    <w:unhideWhenUsed/>
    <w:rsid w:val="0094124E"/>
    <w:rPr>
      <w:color w:val="808080"/>
      <w:shd w:val="clear" w:color="auto" w:fill="E6E6E6"/>
    </w:rPr>
  </w:style>
  <w:style w:type="paragraph" w:customStyle="1" w:styleId="Heading2-notshowing">
    <w:name w:val="Heading 2 - not showing"/>
    <w:basedOn w:val="Heading2"/>
    <w:qFormat/>
    <w:rsid w:val="00D03AE2"/>
    <w:pPr>
      <w:spacing w:after="120"/>
    </w:pPr>
    <w:rPr>
      <w:sz w:val="32"/>
    </w:rPr>
  </w:style>
  <w:style w:type="paragraph" w:customStyle="1" w:styleId="Heading3-notshowing">
    <w:name w:val="Heading 3 - not showing"/>
    <w:basedOn w:val="Heading3"/>
    <w:qFormat/>
    <w:rsid w:val="00D03AE2"/>
    <w:rPr>
      <w:sz w:val="28"/>
    </w:rPr>
  </w:style>
  <w:style w:type="paragraph" w:styleId="TOC1">
    <w:name w:val="toc 1"/>
    <w:basedOn w:val="Normal"/>
    <w:next w:val="Normal"/>
    <w:autoRedefine/>
    <w:uiPriority w:val="39"/>
    <w:unhideWhenUsed/>
    <w:rsid w:val="004755A2"/>
    <w:pPr>
      <w:tabs>
        <w:tab w:val="right" w:leader="dot" w:pos="9072"/>
      </w:tabs>
      <w:spacing w:before="120" w:after="0"/>
    </w:pPr>
    <w:rPr>
      <w:b/>
      <w:sz w:val="24"/>
    </w:rPr>
  </w:style>
  <w:style w:type="paragraph" w:styleId="TOC2">
    <w:name w:val="toc 2"/>
    <w:basedOn w:val="Normal"/>
    <w:next w:val="Normal"/>
    <w:autoRedefine/>
    <w:uiPriority w:val="39"/>
    <w:unhideWhenUsed/>
    <w:rsid w:val="00705B86"/>
    <w:pPr>
      <w:tabs>
        <w:tab w:val="right" w:leader="dot" w:pos="9072"/>
      </w:tabs>
      <w:spacing w:after="0"/>
      <w:ind w:left="567"/>
    </w:pPr>
  </w:style>
  <w:style w:type="paragraph" w:styleId="TOC3">
    <w:name w:val="toc 3"/>
    <w:basedOn w:val="Normal"/>
    <w:next w:val="Normal"/>
    <w:autoRedefine/>
    <w:uiPriority w:val="39"/>
    <w:unhideWhenUsed/>
    <w:rsid w:val="00705B86"/>
    <w:pPr>
      <w:tabs>
        <w:tab w:val="right" w:leader="dot" w:pos="9072"/>
      </w:tabs>
      <w:spacing w:after="0"/>
      <w:ind w:left="1134"/>
    </w:pPr>
  </w:style>
  <w:style w:type="paragraph" w:styleId="TOC4">
    <w:name w:val="toc 4"/>
    <w:basedOn w:val="Normal"/>
    <w:next w:val="Normal"/>
    <w:autoRedefine/>
    <w:uiPriority w:val="39"/>
    <w:unhideWhenUsed/>
    <w:rsid w:val="00705B86"/>
    <w:pPr>
      <w:tabs>
        <w:tab w:val="right" w:leader="dot" w:pos="9072"/>
      </w:tabs>
      <w:spacing w:after="0"/>
    </w:pPr>
  </w:style>
  <w:style w:type="paragraph" w:customStyle="1" w:styleId="Sourcenote">
    <w:name w:val="Source / note"/>
    <w:basedOn w:val="Normal"/>
    <w:next w:val="Normal"/>
    <w:qFormat/>
    <w:rsid w:val="00C16794"/>
    <w:rPr>
      <w:sz w:val="20"/>
      <w:szCs w:val="20"/>
    </w:rPr>
  </w:style>
  <w:style w:type="paragraph" w:styleId="ListParagraph">
    <w:name w:val="List Paragraph"/>
    <w:basedOn w:val="Normal"/>
    <w:uiPriority w:val="34"/>
    <w:qFormat/>
    <w:rsid w:val="00C16794"/>
    <w:pPr>
      <w:numPr>
        <w:numId w:val="3"/>
      </w:numPr>
      <w:contextualSpacing/>
    </w:pPr>
  </w:style>
  <w:style w:type="paragraph" w:styleId="FootnoteText">
    <w:name w:val="footnote text"/>
    <w:basedOn w:val="Normal"/>
    <w:link w:val="FootnoteTextChar"/>
    <w:uiPriority w:val="99"/>
    <w:semiHidden/>
    <w:unhideWhenUsed/>
    <w:rsid w:val="003B5B1D"/>
    <w:pPr>
      <w:spacing w:after="0"/>
    </w:pPr>
    <w:rPr>
      <w:sz w:val="20"/>
      <w:szCs w:val="20"/>
    </w:rPr>
  </w:style>
  <w:style w:type="character" w:customStyle="1" w:styleId="FootnoteTextChar">
    <w:name w:val="Footnote Text Char"/>
    <w:basedOn w:val="DefaultParagraphFont"/>
    <w:link w:val="FootnoteText"/>
    <w:uiPriority w:val="99"/>
    <w:semiHidden/>
    <w:rsid w:val="003B5B1D"/>
    <w:rPr>
      <w:sz w:val="20"/>
      <w:szCs w:val="20"/>
    </w:rPr>
  </w:style>
  <w:style w:type="character" w:styleId="FootnoteReference">
    <w:name w:val="footnote reference"/>
    <w:basedOn w:val="DefaultParagraphFont"/>
    <w:uiPriority w:val="99"/>
    <w:semiHidden/>
    <w:unhideWhenUsed/>
    <w:rsid w:val="003B5B1D"/>
    <w:rPr>
      <w:vertAlign w:val="superscript"/>
    </w:rPr>
  </w:style>
  <w:style w:type="character" w:customStyle="1" w:styleId="superscriptfootnotereference">
    <w:name w:val="superscript footnote reference"/>
    <w:basedOn w:val="FootnoteReference"/>
    <w:uiPriority w:val="1"/>
    <w:qFormat/>
    <w:rsid w:val="003B5B1D"/>
    <w:rPr>
      <w:vertAlign w:val="superscript"/>
    </w:rPr>
  </w:style>
  <w:style w:type="paragraph" w:styleId="BalloonText">
    <w:name w:val="Balloon Text"/>
    <w:basedOn w:val="Normal"/>
    <w:link w:val="BalloonTextChar"/>
    <w:uiPriority w:val="99"/>
    <w:semiHidden/>
    <w:unhideWhenUsed/>
    <w:rsid w:val="009372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283"/>
    <w:rPr>
      <w:rFonts w:ascii="Tahoma" w:hAnsi="Tahoma" w:cs="Tahoma"/>
      <w:sz w:val="16"/>
      <w:szCs w:val="16"/>
    </w:rPr>
  </w:style>
  <w:style w:type="character" w:styleId="CommentReference">
    <w:name w:val="annotation reference"/>
    <w:basedOn w:val="DefaultParagraphFont"/>
    <w:uiPriority w:val="99"/>
    <w:semiHidden/>
    <w:unhideWhenUsed/>
    <w:rsid w:val="009114FF"/>
    <w:rPr>
      <w:sz w:val="16"/>
      <w:szCs w:val="16"/>
    </w:rPr>
  </w:style>
  <w:style w:type="paragraph" w:styleId="CommentText">
    <w:name w:val="annotation text"/>
    <w:basedOn w:val="Normal"/>
    <w:link w:val="CommentTextChar"/>
    <w:uiPriority w:val="99"/>
    <w:unhideWhenUsed/>
    <w:rsid w:val="009114FF"/>
    <w:rPr>
      <w:sz w:val="20"/>
      <w:szCs w:val="20"/>
    </w:rPr>
  </w:style>
  <w:style w:type="character" w:customStyle="1" w:styleId="CommentTextChar">
    <w:name w:val="Comment Text Char"/>
    <w:basedOn w:val="DefaultParagraphFont"/>
    <w:link w:val="CommentText"/>
    <w:uiPriority w:val="99"/>
    <w:rsid w:val="009114FF"/>
    <w:rPr>
      <w:sz w:val="20"/>
      <w:szCs w:val="20"/>
    </w:rPr>
  </w:style>
  <w:style w:type="paragraph" w:styleId="CommentSubject">
    <w:name w:val="annotation subject"/>
    <w:basedOn w:val="CommentText"/>
    <w:next w:val="CommentText"/>
    <w:link w:val="CommentSubjectChar"/>
    <w:uiPriority w:val="99"/>
    <w:semiHidden/>
    <w:unhideWhenUsed/>
    <w:rsid w:val="009114FF"/>
    <w:rPr>
      <w:b/>
      <w:bCs/>
    </w:rPr>
  </w:style>
  <w:style w:type="character" w:customStyle="1" w:styleId="CommentSubjectChar">
    <w:name w:val="Comment Subject Char"/>
    <w:basedOn w:val="CommentTextChar"/>
    <w:link w:val="CommentSubject"/>
    <w:uiPriority w:val="99"/>
    <w:semiHidden/>
    <w:rsid w:val="009114FF"/>
    <w:rPr>
      <w:b/>
      <w:bCs/>
      <w:sz w:val="20"/>
      <w:szCs w:val="20"/>
    </w:rPr>
  </w:style>
  <w:style w:type="paragraph" w:styleId="Revision">
    <w:name w:val="Revision"/>
    <w:hidden/>
    <w:uiPriority w:val="99"/>
    <w:semiHidden/>
    <w:rsid w:val="00F66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734609">
      <w:bodyDiv w:val="1"/>
      <w:marLeft w:val="0"/>
      <w:marRight w:val="0"/>
      <w:marTop w:val="0"/>
      <w:marBottom w:val="0"/>
      <w:divBdr>
        <w:top w:val="none" w:sz="0" w:space="0" w:color="auto"/>
        <w:left w:val="none" w:sz="0" w:space="0" w:color="auto"/>
        <w:bottom w:val="none" w:sz="0" w:space="0" w:color="auto"/>
        <w:right w:val="none" w:sz="0" w:space="0" w:color="auto"/>
      </w:divBdr>
    </w:div>
    <w:div w:id="163259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8701A.460DF4D0" TargetMode="Externa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adminsrvad.sa.gov.au\DfsRoot\DataDPC\ArtsSA\ABS\Cultural%20Funding%20Collections\2023-24\Publication\Working\5%20-%20WA\WA-analysis-23-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dminsrvad.sa.gov.au\DfsRoot\DataDPC\ArtsSA\ABS\Cultural%20Funding%20Collections\2023-24\Publication\Working\5%20-%20WA\WA-analysis-23-24_updat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dminsrvad.sa.gov.au\DfsRoot\DataDPC\ArtsSA\ABS\Cultural%20Funding%20Collections\2023-24\Publication\Working\5%20-%20WA\WA-analysis-23-2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488582131117108E-2"/>
          <c:y val="0.11547344110854503"/>
          <c:w val="0.90299824172463883"/>
          <c:h val="0.7272128166427233"/>
        </c:manualLayout>
      </c:layout>
      <c:barChart>
        <c:barDir val="col"/>
        <c:grouping val="clustered"/>
        <c:varyColors val="0"/>
        <c:ser>
          <c:idx val="0"/>
          <c:order val="0"/>
          <c:tx>
            <c:strRef>
              <c:f>Working_23_24!$B$39</c:f>
              <c:strCache>
                <c:ptCount val="1"/>
                <c:pt idx="0">
                  <c:v>2020-21</c:v>
                </c:pt>
              </c:strCache>
            </c:strRef>
          </c:tx>
          <c:spPr>
            <a:solidFill>
              <a:srgbClr val="646464"/>
            </a:solidFill>
            <a:ln>
              <a:noFill/>
            </a:ln>
            <a:effectLst/>
          </c:spPr>
          <c:invertIfNegative val="0"/>
          <c:cat>
            <c:strRef>
              <c:f>Working_23_24!$A$40:$A$43</c:f>
              <c:strCache>
                <c:ptCount val="4"/>
                <c:pt idx="0">
                  <c:v>Art museums</c:v>
                </c:pt>
                <c:pt idx="1">
                  <c:v>Other museums &amp; cultural heritage</c:v>
                </c:pt>
                <c:pt idx="2">
                  <c:v>Libraries</c:v>
                </c:pt>
                <c:pt idx="3">
                  <c:v>Archives</c:v>
                </c:pt>
              </c:strCache>
            </c:strRef>
          </c:cat>
          <c:val>
            <c:numRef>
              <c:f>Working_23_24!$B$40:$B$43</c:f>
              <c:numCache>
                <c:formatCode>#,##0.0</c:formatCode>
                <c:ptCount val="4"/>
                <c:pt idx="0">
                  <c:v>11.9</c:v>
                </c:pt>
                <c:pt idx="1">
                  <c:v>111.5</c:v>
                </c:pt>
                <c:pt idx="2">
                  <c:v>33.1</c:v>
                </c:pt>
                <c:pt idx="3">
                  <c:v>1.2</c:v>
                </c:pt>
              </c:numCache>
            </c:numRef>
          </c:val>
          <c:extLst>
            <c:ext xmlns:c16="http://schemas.microsoft.com/office/drawing/2014/chart" uri="{C3380CC4-5D6E-409C-BE32-E72D297353CC}">
              <c16:uniqueId val="{00000000-10A8-446E-B1AE-953D58FEAF2C}"/>
            </c:ext>
          </c:extLst>
        </c:ser>
        <c:ser>
          <c:idx val="1"/>
          <c:order val="1"/>
          <c:tx>
            <c:strRef>
              <c:f>Working_23_24!$C$39</c:f>
              <c:strCache>
                <c:ptCount val="1"/>
                <c:pt idx="0">
                  <c:v>2021-22</c:v>
                </c:pt>
              </c:strCache>
            </c:strRef>
          </c:tx>
          <c:spPr>
            <a:solidFill>
              <a:srgbClr val="0F293A"/>
            </a:solidFill>
            <a:ln>
              <a:noFill/>
            </a:ln>
            <a:effectLst/>
          </c:spPr>
          <c:invertIfNegative val="0"/>
          <c:cat>
            <c:strRef>
              <c:f>Working_23_24!$A$40:$A$43</c:f>
              <c:strCache>
                <c:ptCount val="4"/>
                <c:pt idx="0">
                  <c:v>Art museums</c:v>
                </c:pt>
                <c:pt idx="1">
                  <c:v>Other museums &amp; cultural heritage</c:v>
                </c:pt>
                <c:pt idx="2">
                  <c:v>Libraries</c:v>
                </c:pt>
                <c:pt idx="3">
                  <c:v>Archives</c:v>
                </c:pt>
              </c:strCache>
            </c:strRef>
          </c:cat>
          <c:val>
            <c:numRef>
              <c:f>Working_23_24!$C$40:$C$43</c:f>
              <c:numCache>
                <c:formatCode>#,##0.0</c:formatCode>
                <c:ptCount val="4"/>
                <c:pt idx="0">
                  <c:v>15.3</c:v>
                </c:pt>
                <c:pt idx="1">
                  <c:v>131</c:v>
                </c:pt>
                <c:pt idx="2">
                  <c:v>29.9</c:v>
                </c:pt>
                <c:pt idx="3">
                  <c:v>1.5</c:v>
                </c:pt>
              </c:numCache>
            </c:numRef>
          </c:val>
          <c:extLst>
            <c:ext xmlns:c16="http://schemas.microsoft.com/office/drawing/2014/chart" uri="{C3380CC4-5D6E-409C-BE32-E72D297353CC}">
              <c16:uniqueId val="{00000001-10A8-446E-B1AE-953D58FEAF2C}"/>
            </c:ext>
          </c:extLst>
        </c:ser>
        <c:ser>
          <c:idx val="2"/>
          <c:order val="2"/>
          <c:tx>
            <c:strRef>
              <c:f>Working_23_24!$D$39</c:f>
              <c:strCache>
                <c:ptCount val="1"/>
                <c:pt idx="0">
                  <c:v>2023-24</c:v>
                </c:pt>
              </c:strCache>
            </c:strRef>
          </c:tx>
          <c:spPr>
            <a:solidFill>
              <a:srgbClr val="513AC4"/>
            </a:solidFill>
            <a:ln>
              <a:noFill/>
            </a:ln>
            <a:effectLst/>
          </c:spPr>
          <c:invertIfNegative val="0"/>
          <c:cat>
            <c:strRef>
              <c:f>Working_23_24!$A$40:$A$43</c:f>
              <c:strCache>
                <c:ptCount val="4"/>
                <c:pt idx="0">
                  <c:v>Art museums</c:v>
                </c:pt>
                <c:pt idx="1">
                  <c:v>Other museums &amp; cultural heritage</c:v>
                </c:pt>
                <c:pt idx="2">
                  <c:v>Libraries</c:v>
                </c:pt>
                <c:pt idx="3">
                  <c:v>Archives</c:v>
                </c:pt>
              </c:strCache>
            </c:strRef>
          </c:cat>
          <c:val>
            <c:numRef>
              <c:f>Working_23_24!$D$40:$D$43</c:f>
              <c:numCache>
                <c:formatCode>#,##0.0</c:formatCode>
                <c:ptCount val="4"/>
                <c:pt idx="0">
                  <c:v>24.933</c:v>
                </c:pt>
                <c:pt idx="1">
                  <c:v>108.45699999999999</c:v>
                </c:pt>
                <c:pt idx="2">
                  <c:v>30.884</c:v>
                </c:pt>
                <c:pt idx="3">
                  <c:v>1.4119999999999999</c:v>
                </c:pt>
              </c:numCache>
            </c:numRef>
          </c:val>
          <c:extLst>
            <c:ext xmlns:c16="http://schemas.microsoft.com/office/drawing/2014/chart" uri="{C3380CC4-5D6E-409C-BE32-E72D297353CC}">
              <c16:uniqueId val="{00000002-10A8-446E-B1AE-953D58FEAF2C}"/>
            </c:ext>
          </c:extLst>
        </c:ser>
        <c:dLbls>
          <c:showLegendKey val="0"/>
          <c:showVal val="0"/>
          <c:showCatName val="0"/>
          <c:showSerName val="0"/>
          <c:showPercent val="0"/>
          <c:showBubbleSize val="0"/>
        </c:dLbls>
        <c:gapWidth val="100"/>
        <c:overlap val="-10"/>
        <c:axId val="999115784"/>
        <c:axId val="999117224"/>
      </c:barChart>
      <c:catAx>
        <c:axId val="9991157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999117224"/>
        <c:crosses val="autoZero"/>
        <c:auto val="1"/>
        <c:lblAlgn val="ctr"/>
        <c:lblOffset val="100"/>
        <c:noMultiLvlLbl val="0"/>
      </c:catAx>
      <c:valAx>
        <c:axId val="999117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800" b="0" i="0" u="none" strike="noStrike" kern="1200" baseline="0">
                    <a:solidFill>
                      <a:schemeClr val="tx1"/>
                    </a:solidFill>
                    <a:latin typeface="+mn-lt"/>
                    <a:ea typeface="+mn-ea"/>
                    <a:cs typeface="+mn-cs"/>
                  </a:defRPr>
                </a:pPr>
                <a:r>
                  <a:rPr lang="en-AU" sz="800">
                    <a:solidFill>
                      <a:schemeClr val="tx1"/>
                    </a:solidFill>
                  </a:rPr>
                  <a:t> $m</a:t>
                </a:r>
              </a:p>
            </c:rich>
          </c:tx>
          <c:layout>
            <c:manualLayout>
              <c:xMode val="edge"/>
              <c:yMode val="edge"/>
              <c:x val="5.0457253965264749E-3"/>
              <c:y val="7.2091796839482821E-3"/>
            </c:manualLayout>
          </c:layout>
          <c:overlay val="0"/>
          <c:spPr>
            <a:noFill/>
            <a:ln>
              <a:noFill/>
            </a:ln>
            <a:effectLst/>
          </c:spPr>
          <c:txPr>
            <a:bodyPr rot="0" spcFirstLastPara="1" vertOverflow="ellipsis" wrap="square" anchor="ctr" anchorCtr="1"/>
            <a:lstStyle/>
            <a:p>
              <a:pPr>
                <a:defRPr sz="8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999115784"/>
        <c:crosses val="autoZero"/>
        <c:crossBetween val="between"/>
      </c:valAx>
      <c:spPr>
        <a:noFill/>
        <a:ln>
          <a:noFill/>
        </a:ln>
        <a:effectLst/>
      </c:spPr>
    </c:plotArea>
    <c:legend>
      <c:legendPos val="b"/>
      <c:layout>
        <c:manualLayout>
          <c:xMode val="edge"/>
          <c:yMode val="edge"/>
          <c:x val="0.81885649495900192"/>
          <c:y val="5.4584875656461723E-2"/>
          <c:w val="0.13606386099052872"/>
          <c:h val="0.1747249549926351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025349578993261E-2"/>
          <c:y val="0.12009237875288684"/>
          <c:w val="0.92555791585363212"/>
          <c:h val="0.6702739429386535"/>
        </c:manualLayout>
      </c:layout>
      <c:barChart>
        <c:barDir val="col"/>
        <c:grouping val="clustered"/>
        <c:varyColors val="0"/>
        <c:ser>
          <c:idx val="0"/>
          <c:order val="0"/>
          <c:tx>
            <c:strRef>
              <c:f>Working_23_24!$B$48</c:f>
              <c:strCache>
                <c:ptCount val="1"/>
                <c:pt idx="0">
                  <c:v>2020-21</c:v>
                </c:pt>
              </c:strCache>
            </c:strRef>
          </c:tx>
          <c:spPr>
            <a:solidFill>
              <a:srgbClr val="646464"/>
            </a:solidFill>
            <a:ln>
              <a:noFill/>
            </a:ln>
            <a:effectLst/>
          </c:spPr>
          <c:invertIfNegative val="0"/>
          <c:cat>
            <c:strRef>
              <c:f>Working_23_24!$A$49:$A$57</c:f>
              <c:strCache>
                <c:ptCount val="9"/>
                <c:pt idx="0">
                  <c:v>Music</c:v>
                </c:pt>
                <c:pt idx="1">
                  <c:v>Theatre</c:v>
                </c:pt>
                <c:pt idx="2">
                  <c:v>Performing arts venues</c:v>
                </c:pt>
                <c:pt idx="3">
                  <c:v>Visual &amp; and crafts</c:v>
                </c:pt>
                <c:pt idx="4">
                  <c:v>Film &amp; video production &amp; distribution</c:v>
                </c:pt>
                <c:pt idx="5">
                  <c:v>Arts  education</c:v>
                </c:pt>
                <c:pt idx="6">
                  <c:v>Community arts &amp; cultural development</c:v>
                </c:pt>
                <c:pt idx="7">
                  <c:v>Multi-arts festivals</c:v>
                </c:pt>
                <c:pt idx="8">
                  <c:v>Arts administration</c:v>
                </c:pt>
              </c:strCache>
            </c:strRef>
          </c:cat>
          <c:val>
            <c:numRef>
              <c:f>Working_23_24!$B$49:$B$57</c:f>
              <c:numCache>
                <c:formatCode>#,##0.0</c:formatCode>
                <c:ptCount val="9"/>
                <c:pt idx="0">
                  <c:v>8.5</c:v>
                </c:pt>
                <c:pt idx="1">
                  <c:v>7.5</c:v>
                </c:pt>
                <c:pt idx="2">
                  <c:v>19.600000000000001</c:v>
                </c:pt>
                <c:pt idx="3">
                  <c:v>9.8000000000000007</c:v>
                </c:pt>
                <c:pt idx="4">
                  <c:v>14.9</c:v>
                </c:pt>
                <c:pt idx="5">
                  <c:v>9.1999999999999993</c:v>
                </c:pt>
                <c:pt idx="6">
                  <c:v>14.8</c:v>
                </c:pt>
                <c:pt idx="7">
                  <c:v>13.3</c:v>
                </c:pt>
                <c:pt idx="8">
                  <c:v>12.5</c:v>
                </c:pt>
              </c:numCache>
            </c:numRef>
          </c:val>
          <c:extLst>
            <c:ext xmlns:c16="http://schemas.microsoft.com/office/drawing/2014/chart" uri="{C3380CC4-5D6E-409C-BE32-E72D297353CC}">
              <c16:uniqueId val="{00000000-7FDD-4B24-B132-74F80E0BC3CB}"/>
            </c:ext>
          </c:extLst>
        </c:ser>
        <c:ser>
          <c:idx val="1"/>
          <c:order val="1"/>
          <c:tx>
            <c:strRef>
              <c:f>Working_23_24!$C$48</c:f>
              <c:strCache>
                <c:ptCount val="1"/>
                <c:pt idx="0">
                  <c:v>2021-22</c:v>
                </c:pt>
              </c:strCache>
            </c:strRef>
          </c:tx>
          <c:spPr>
            <a:solidFill>
              <a:srgbClr val="0F293A"/>
            </a:solidFill>
            <a:ln>
              <a:noFill/>
            </a:ln>
            <a:effectLst/>
          </c:spPr>
          <c:invertIfNegative val="0"/>
          <c:cat>
            <c:strRef>
              <c:f>Working_23_24!$A$49:$A$57</c:f>
              <c:strCache>
                <c:ptCount val="9"/>
                <c:pt idx="0">
                  <c:v>Music</c:v>
                </c:pt>
                <c:pt idx="1">
                  <c:v>Theatre</c:v>
                </c:pt>
                <c:pt idx="2">
                  <c:v>Performing arts venues</c:v>
                </c:pt>
                <c:pt idx="3">
                  <c:v>Visual &amp; and crafts</c:v>
                </c:pt>
                <c:pt idx="4">
                  <c:v>Film &amp; video production &amp; distribution</c:v>
                </c:pt>
                <c:pt idx="5">
                  <c:v>Arts  education</c:v>
                </c:pt>
                <c:pt idx="6">
                  <c:v>Community arts &amp; cultural development</c:v>
                </c:pt>
                <c:pt idx="7">
                  <c:v>Multi-arts festivals</c:v>
                </c:pt>
                <c:pt idx="8">
                  <c:v>Arts administration</c:v>
                </c:pt>
              </c:strCache>
            </c:strRef>
          </c:cat>
          <c:val>
            <c:numRef>
              <c:f>Working_23_24!$C$49:$C$57</c:f>
              <c:numCache>
                <c:formatCode>#,##0.0</c:formatCode>
                <c:ptCount val="9"/>
                <c:pt idx="0">
                  <c:v>7.1</c:v>
                </c:pt>
                <c:pt idx="1">
                  <c:v>7.5</c:v>
                </c:pt>
                <c:pt idx="2">
                  <c:v>24.5</c:v>
                </c:pt>
                <c:pt idx="3">
                  <c:v>8.9</c:v>
                </c:pt>
                <c:pt idx="4">
                  <c:v>31.3</c:v>
                </c:pt>
                <c:pt idx="5">
                  <c:v>9.6999999999999993</c:v>
                </c:pt>
                <c:pt idx="6">
                  <c:v>9.6999999999999993</c:v>
                </c:pt>
                <c:pt idx="7">
                  <c:v>16.5</c:v>
                </c:pt>
                <c:pt idx="8">
                  <c:v>14.4</c:v>
                </c:pt>
              </c:numCache>
            </c:numRef>
          </c:val>
          <c:extLst>
            <c:ext xmlns:c16="http://schemas.microsoft.com/office/drawing/2014/chart" uri="{C3380CC4-5D6E-409C-BE32-E72D297353CC}">
              <c16:uniqueId val="{00000001-7FDD-4B24-B132-74F80E0BC3CB}"/>
            </c:ext>
          </c:extLst>
        </c:ser>
        <c:ser>
          <c:idx val="2"/>
          <c:order val="2"/>
          <c:tx>
            <c:strRef>
              <c:f>Working_23_24!$D$48</c:f>
              <c:strCache>
                <c:ptCount val="1"/>
                <c:pt idx="0">
                  <c:v>2023-24</c:v>
                </c:pt>
              </c:strCache>
            </c:strRef>
          </c:tx>
          <c:spPr>
            <a:solidFill>
              <a:srgbClr val="513AC4"/>
            </a:solidFill>
            <a:ln>
              <a:noFill/>
            </a:ln>
            <a:effectLst/>
          </c:spPr>
          <c:invertIfNegative val="0"/>
          <c:cat>
            <c:strRef>
              <c:f>Working_23_24!$A$49:$A$57</c:f>
              <c:strCache>
                <c:ptCount val="9"/>
                <c:pt idx="0">
                  <c:v>Music</c:v>
                </c:pt>
                <c:pt idx="1">
                  <c:v>Theatre</c:v>
                </c:pt>
                <c:pt idx="2">
                  <c:v>Performing arts venues</c:v>
                </c:pt>
                <c:pt idx="3">
                  <c:v>Visual &amp; and crafts</c:v>
                </c:pt>
                <c:pt idx="4">
                  <c:v>Film &amp; video production &amp; distribution</c:v>
                </c:pt>
                <c:pt idx="5">
                  <c:v>Arts  education</c:v>
                </c:pt>
                <c:pt idx="6">
                  <c:v>Community arts &amp; cultural development</c:v>
                </c:pt>
                <c:pt idx="7">
                  <c:v>Multi-arts festivals</c:v>
                </c:pt>
                <c:pt idx="8">
                  <c:v>Arts administration</c:v>
                </c:pt>
              </c:strCache>
            </c:strRef>
          </c:cat>
          <c:val>
            <c:numRef>
              <c:f>Working_23_24!$D$49:$D$57</c:f>
              <c:numCache>
                <c:formatCode>#,##0.0</c:formatCode>
                <c:ptCount val="9"/>
                <c:pt idx="0">
                  <c:v>15.426</c:v>
                </c:pt>
                <c:pt idx="1">
                  <c:v>7.6569999999999991</c:v>
                </c:pt>
                <c:pt idx="2">
                  <c:v>28.620999999999999</c:v>
                </c:pt>
                <c:pt idx="3">
                  <c:v>19.782</c:v>
                </c:pt>
                <c:pt idx="4">
                  <c:v>44.319999999999993</c:v>
                </c:pt>
                <c:pt idx="5">
                  <c:v>10.069999999999999</c:v>
                </c:pt>
                <c:pt idx="6">
                  <c:v>14.285</c:v>
                </c:pt>
                <c:pt idx="7">
                  <c:v>23.356999999999999</c:v>
                </c:pt>
                <c:pt idx="8">
                  <c:v>19.901</c:v>
                </c:pt>
              </c:numCache>
            </c:numRef>
          </c:val>
          <c:extLst>
            <c:ext xmlns:c16="http://schemas.microsoft.com/office/drawing/2014/chart" uri="{C3380CC4-5D6E-409C-BE32-E72D297353CC}">
              <c16:uniqueId val="{00000002-7FDD-4B24-B132-74F80E0BC3CB}"/>
            </c:ext>
          </c:extLst>
        </c:ser>
        <c:dLbls>
          <c:showLegendKey val="0"/>
          <c:showVal val="0"/>
          <c:showCatName val="0"/>
          <c:showSerName val="0"/>
          <c:showPercent val="0"/>
          <c:showBubbleSize val="0"/>
        </c:dLbls>
        <c:gapWidth val="100"/>
        <c:overlap val="-10"/>
        <c:axId val="1029324664"/>
        <c:axId val="1029330424"/>
      </c:barChart>
      <c:catAx>
        <c:axId val="102932466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029330424"/>
        <c:crosses val="autoZero"/>
        <c:auto val="1"/>
        <c:lblAlgn val="ctr"/>
        <c:lblOffset val="100"/>
        <c:noMultiLvlLbl val="0"/>
      </c:catAx>
      <c:valAx>
        <c:axId val="1029330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800" b="0" i="0" u="none" strike="noStrike" kern="1200" baseline="0">
                    <a:solidFill>
                      <a:sysClr val="windowText" lastClr="000000"/>
                    </a:solidFill>
                    <a:latin typeface="+mn-lt"/>
                    <a:ea typeface="+mn-ea"/>
                    <a:cs typeface="+mn-cs"/>
                  </a:defRPr>
                </a:pPr>
                <a:r>
                  <a:rPr lang="en-AU" sz="800">
                    <a:solidFill>
                      <a:sysClr val="windowText" lastClr="000000"/>
                    </a:solidFill>
                  </a:rPr>
                  <a:t>$m</a:t>
                </a:r>
              </a:p>
            </c:rich>
          </c:tx>
          <c:layout>
            <c:manualLayout>
              <c:xMode val="edge"/>
              <c:yMode val="edge"/>
              <c:x val="6.3863821547385192E-3"/>
              <c:y val="1.6747104071575328E-2"/>
            </c:manualLayout>
          </c:layout>
          <c:overlay val="0"/>
          <c:spPr>
            <a:noFill/>
            <a:ln>
              <a:noFill/>
            </a:ln>
            <a:effectLst/>
          </c:spPr>
          <c:txPr>
            <a:bodyPr rot="0" spcFirstLastPara="1" vertOverflow="ellipsis"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029324664"/>
        <c:crosses val="autoZero"/>
        <c:crossBetween val="between"/>
        <c:majorUnit val="10"/>
      </c:valAx>
      <c:spPr>
        <a:noFill/>
        <a:ln>
          <a:noFill/>
        </a:ln>
        <a:effectLst/>
      </c:spPr>
    </c:plotArea>
    <c:legend>
      <c:legendPos val="b"/>
      <c:layout>
        <c:manualLayout>
          <c:xMode val="edge"/>
          <c:yMode val="edge"/>
          <c:x val="0.82144178360087694"/>
          <c:y val="5.369460457165718E-2"/>
          <c:w val="0.12986850590002813"/>
          <c:h val="0.1980374970449710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177999409922595"/>
          <c:y val="5.0808314087759814E-2"/>
          <c:w val="0.67009850750894051"/>
          <c:h val="0.84738324127394538"/>
        </c:manualLayout>
      </c:layout>
      <c:barChart>
        <c:barDir val="bar"/>
        <c:grouping val="clustered"/>
        <c:varyColors val="0"/>
        <c:ser>
          <c:idx val="0"/>
          <c:order val="0"/>
          <c:tx>
            <c:strRef>
              <c:f>Working_23_24!$B$60</c:f>
              <c:strCache>
                <c:ptCount val="1"/>
                <c:pt idx="0">
                  <c:v>2023-24</c:v>
                </c:pt>
              </c:strCache>
            </c:strRef>
          </c:tx>
          <c:spPr>
            <a:solidFill>
              <a:srgbClr val="513AC4"/>
            </a:solidFill>
            <a:ln>
              <a:noFill/>
            </a:ln>
            <a:effectLst/>
          </c:spPr>
          <c:invertIfNegative val="0"/>
          <c:cat>
            <c:strRef>
              <c:f>Working_23_24!$A$61:$A$68</c:f>
              <c:strCache>
                <c:ptCount val="8"/>
                <c:pt idx="0">
                  <c:v>Arts administration</c:v>
                </c:pt>
                <c:pt idx="1">
                  <c:v>Multi-arts festivals</c:v>
                </c:pt>
                <c:pt idx="2">
                  <c:v>Film &amp; video production &amp; distribution</c:v>
                </c:pt>
                <c:pt idx="3">
                  <c:v>Performing arts venues</c:v>
                </c:pt>
                <c:pt idx="4">
                  <c:v>Music</c:v>
                </c:pt>
                <c:pt idx="5">
                  <c:v>Libraries</c:v>
                </c:pt>
                <c:pt idx="6">
                  <c:v>Other museums &amp; cultural heritage</c:v>
                </c:pt>
                <c:pt idx="7">
                  <c:v>Art museums</c:v>
                </c:pt>
              </c:strCache>
            </c:strRef>
          </c:cat>
          <c:val>
            <c:numRef>
              <c:f>Working_23_24!$B$61:$B$68</c:f>
              <c:numCache>
                <c:formatCode>#,##0.0</c:formatCode>
                <c:ptCount val="8"/>
                <c:pt idx="0">
                  <c:v>19.882999999999999</c:v>
                </c:pt>
                <c:pt idx="1">
                  <c:v>21.811</c:v>
                </c:pt>
                <c:pt idx="2">
                  <c:v>21.053999999999998</c:v>
                </c:pt>
                <c:pt idx="3">
                  <c:v>21.742999999999999</c:v>
                </c:pt>
                <c:pt idx="4">
                  <c:v>15.426</c:v>
                </c:pt>
                <c:pt idx="5">
                  <c:v>30.484999999999999</c:v>
                </c:pt>
                <c:pt idx="6">
                  <c:v>83.369</c:v>
                </c:pt>
                <c:pt idx="7">
                  <c:v>23.928999999999998</c:v>
                </c:pt>
              </c:numCache>
            </c:numRef>
          </c:val>
          <c:extLst>
            <c:ext xmlns:c16="http://schemas.microsoft.com/office/drawing/2014/chart" uri="{C3380CC4-5D6E-409C-BE32-E72D297353CC}">
              <c16:uniqueId val="{00000000-49FB-4349-A302-A1352C23E95D}"/>
            </c:ext>
          </c:extLst>
        </c:ser>
        <c:ser>
          <c:idx val="1"/>
          <c:order val="1"/>
          <c:tx>
            <c:strRef>
              <c:f>Working_23_24!$C$60</c:f>
              <c:strCache>
                <c:ptCount val="1"/>
                <c:pt idx="0">
                  <c:v>2021-22</c:v>
                </c:pt>
              </c:strCache>
            </c:strRef>
          </c:tx>
          <c:spPr>
            <a:solidFill>
              <a:srgbClr val="0F293A"/>
            </a:solidFill>
            <a:ln>
              <a:noFill/>
            </a:ln>
            <a:effectLst/>
          </c:spPr>
          <c:invertIfNegative val="0"/>
          <c:cat>
            <c:strRef>
              <c:f>Working_23_24!$A$61:$A$68</c:f>
              <c:strCache>
                <c:ptCount val="8"/>
                <c:pt idx="0">
                  <c:v>Arts administration</c:v>
                </c:pt>
                <c:pt idx="1">
                  <c:v>Multi-arts festivals</c:v>
                </c:pt>
                <c:pt idx="2">
                  <c:v>Film &amp; video production &amp; distribution</c:v>
                </c:pt>
                <c:pt idx="3">
                  <c:v>Performing arts venues</c:v>
                </c:pt>
                <c:pt idx="4">
                  <c:v>Music</c:v>
                </c:pt>
                <c:pt idx="5">
                  <c:v>Libraries</c:v>
                </c:pt>
                <c:pt idx="6">
                  <c:v>Other museums &amp; cultural heritage</c:v>
                </c:pt>
                <c:pt idx="7">
                  <c:v>Art museums</c:v>
                </c:pt>
              </c:strCache>
            </c:strRef>
          </c:cat>
          <c:val>
            <c:numRef>
              <c:f>Working_23_24!$C$61:$C$68</c:f>
              <c:numCache>
                <c:formatCode>#,##0.0</c:formatCode>
                <c:ptCount val="8"/>
                <c:pt idx="0">
                  <c:v>14.4</c:v>
                </c:pt>
                <c:pt idx="1">
                  <c:v>16.5</c:v>
                </c:pt>
                <c:pt idx="2">
                  <c:v>27.1</c:v>
                </c:pt>
                <c:pt idx="3">
                  <c:v>13.1</c:v>
                </c:pt>
                <c:pt idx="4">
                  <c:v>7</c:v>
                </c:pt>
                <c:pt idx="5">
                  <c:v>29.4</c:v>
                </c:pt>
                <c:pt idx="6">
                  <c:v>82.1</c:v>
                </c:pt>
                <c:pt idx="7">
                  <c:v>11.1</c:v>
                </c:pt>
              </c:numCache>
            </c:numRef>
          </c:val>
          <c:extLst>
            <c:ext xmlns:c16="http://schemas.microsoft.com/office/drawing/2014/chart" uri="{C3380CC4-5D6E-409C-BE32-E72D297353CC}">
              <c16:uniqueId val="{00000001-49FB-4349-A302-A1352C23E95D}"/>
            </c:ext>
          </c:extLst>
        </c:ser>
        <c:ser>
          <c:idx val="2"/>
          <c:order val="2"/>
          <c:tx>
            <c:strRef>
              <c:f>Working_23_24!$D$60</c:f>
              <c:strCache>
                <c:ptCount val="1"/>
                <c:pt idx="0">
                  <c:v>2020-21</c:v>
                </c:pt>
              </c:strCache>
            </c:strRef>
          </c:tx>
          <c:spPr>
            <a:solidFill>
              <a:srgbClr val="646464"/>
            </a:solidFill>
            <a:ln>
              <a:noFill/>
            </a:ln>
            <a:effectLst/>
          </c:spPr>
          <c:invertIfNegative val="0"/>
          <c:cat>
            <c:strRef>
              <c:f>Working_23_24!$A$61:$A$68</c:f>
              <c:strCache>
                <c:ptCount val="8"/>
                <c:pt idx="0">
                  <c:v>Arts administration</c:v>
                </c:pt>
                <c:pt idx="1">
                  <c:v>Multi-arts festivals</c:v>
                </c:pt>
                <c:pt idx="2">
                  <c:v>Film &amp; video production &amp; distribution</c:v>
                </c:pt>
                <c:pt idx="3">
                  <c:v>Performing arts venues</c:v>
                </c:pt>
                <c:pt idx="4">
                  <c:v>Music</c:v>
                </c:pt>
                <c:pt idx="5">
                  <c:v>Libraries</c:v>
                </c:pt>
                <c:pt idx="6">
                  <c:v>Other museums &amp; cultural heritage</c:v>
                </c:pt>
                <c:pt idx="7">
                  <c:v>Art museums</c:v>
                </c:pt>
              </c:strCache>
            </c:strRef>
          </c:cat>
          <c:val>
            <c:numRef>
              <c:f>Working_23_24!$D$61:$D$68</c:f>
              <c:numCache>
                <c:formatCode>#,##0.0</c:formatCode>
                <c:ptCount val="8"/>
                <c:pt idx="0">
                  <c:v>12.5</c:v>
                </c:pt>
                <c:pt idx="1">
                  <c:v>13.3</c:v>
                </c:pt>
                <c:pt idx="2">
                  <c:v>14.9</c:v>
                </c:pt>
                <c:pt idx="3">
                  <c:v>18.5</c:v>
                </c:pt>
                <c:pt idx="4">
                  <c:v>8.5</c:v>
                </c:pt>
                <c:pt idx="5">
                  <c:v>31.6</c:v>
                </c:pt>
                <c:pt idx="6">
                  <c:v>66.400000000000006</c:v>
                </c:pt>
                <c:pt idx="7">
                  <c:v>10.199999999999999</c:v>
                </c:pt>
              </c:numCache>
            </c:numRef>
          </c:val>
          <c:extLst>
            <c:ext xmlns:c16="http://schemas.microsoft.com/office/drawing/2014/chart" uri="{C3380CC4-5D6E-409C-BE32-E72D297353CC}">
              <c16:uniqueId val="{00000002-49FB-4349-A302-A1352C23E95D}"/>
            </c:ext>
          </c:extLst>
        </c:ser>
        <c:dLbls>
          <c:showLegendKey val="0"/>
          <c:showVal val="0"/>
          <c:showCatName val="0"/>
          <c:showSerName val="0"/>
          <c:showPercent val="0"/>
          <c:showBubbleSize val="0"/>
        </c:dLbls>
        <c:gapWidth val="100"/>
        <c:overlap val="-10"/>
        <c:axId val="989175784"/>
        <c:axId val="989176144"/>
      </c:barChart>
      <c:catAx>
        <c:axId val="989175784"/>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0"/>
          <a:lstStyle/>
          <a:p>
            <a:pPr>
              <a:defRPr sz="800" b="0" i="0" u="none" strike="noStrike" kern="1200" baseline="0">
                <a:solidFill>
                  <a:sysClr val="windowText" lastClr="000000"/>
                </a:solidFill>
                <a:latin typeface="+mn-lt"/>
                <a:ea typeface="+mn-ea"/>
                <a:cs typeface="+mn-cs"/>
              </a:defRPr>
            </a:pPr>
            <a:endParaRPr lang="en-US"/>
          </a:p>
        </c:txPr>
        <c:crossAx val="989176144"/>
        <c:crosses val="autoZero"/>
        <c:auto val="1"/>
        <c:lblAlgn val="ctr"/>
        <c:lblOffset val="100"/>
        <c:noMultiLvlLbl val="0"/>
      </c:catAx>
      <c:valAx>
        <c:axId val="989176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AU" sz="800">
                    <a:solidFill>
                      <a:sysClr val="windowText" lastClr="000000"/>
                    </a:solidFill>
                  </a:rPr>
                  <a:t>$m</a:t>
                </a:r>
              </a:p>
            </c:rich>
          </c:tx>
          <c:layout>
            <c:manualLayout>
              <c:xMode val="edge"/>
              <c:yMode val="edge"/>
              <c:x val="0.64433298873269806"/>
              <c:y val="0.9444998288257445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989175784"/>
        <c:crosses val="autoZero"/>
        <c:crossBetween val="between"/>
        <c:majorUnit val="20"/>
      </c:valAx>
      <c:spPr>
        <a:noFill/>
        <a:ln>
          <a:noFill/>
        </a:ln>
        <a:effectLst/>
      </c:spPr>
    </c:plotArea>
    <c:legend>
      <c:legendPos val="b"/>
      <c:layout>
        <c:manualLayout>
          <c:xMode val="edge"/>
          <c:yMode val="edge"/>
          <c:x val="0.84152348736466942"/>
          <c:y val="7.0550867396555514E-2"/>
          <c:w val="0.14264931472281064"/>
          <c:h val="0.1563201316253378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nchor="ctr" anchorCtr="0"/>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DoCA">
      <a:dk1>
        <a:srgbClr val="000000"/>
      </a:dk1>
      <a:lt1>
        <a:srgbClr val="FFFFFF"/>
      </a:lt1>
      <a:dk2>
        <a:srgbClr val="155589"/>
      </a:dk2>
      <a:lt2>
        <a:srgbClr val="E4E4E4"/>
      </a:lt2>
      <a:accent1>
        <a:srgbClr val="77D1F5"/>
      </a:accent1>
      <a:accent2>
        <a:srgbClr val="4EB2B5"/>
      </a:accent2>
      <a:accent3>
        <a:srgbClr val="959ACD"/>
      </a:accent3>
      <a:accent4>
        <a:srgbClr val="1177AD"/>
      </a:accent4>
      <a:accent5>
        <a:srgbClr val="BADB98"/>
      </a:accent5>
      <a:accent6>
        <a:srgbClr val="626E81"/>
      </a:accent6>
      <a:hlink>
        <a:srgbClr val="155589"/>
      </a:hlink>
      <a:folHlink>
        <a:srgbClr val="155589"/>
      </a:folHlink>
    </a:clrScheme>
    <a:fontScheme name="DoCA">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2408-A8D4-44AF-8DBA-E6FCC43D2939}">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2025-09-09T05:38:00Z</dcterms:created>
  <dcterms:modified xsi:type="dcterms:W3CDTF">2025-09-10T01:36:00Z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e5a7ee-c283-40b0-98eb-fa437df4c031_Enabled">
    <vt:lpwstr>true</vt:lpwstr>
  </property>
  <property fmtid="{D5CDD505-2E9C-101B-9397-08002B2CF9AE}" pid="3" name="MSIP_Label_c8e5a7ee-c283-40b0-98eb-fa437df4c031_SetDate">
    <vt:lpwstr>2025-06-27T04:25:53Z</vt:lpwstr>
  </property>
  <property fmtid="{D5CDD505-2E9C-101B-9397-08002B2CF9AE}" pid="4" name="MSIP_Label_c8e5a7ee-c283-40b0-98eb-fa437df4c031_Method">
    <vt:lpwstr>Privileged</vt:lpwstr>
  </property>
  <property fmtid="{D5CDD505-2E9C-101B-9397-08002B2CF9AE}" pid="5" name="MSIP_Label_c8e5a7ee-c283-40b0-98eb-fa437df4c031_Name">
    <vt:lpwstr>OFFICIAL</vt:lpwstr>
  </property>
  <property fmtid="{D5CDD505-2E9C-101B-9397-08002B2CF9AE}" pid="6" name="MSIP_Label_c8e5a7ee-c283-40b0-98eb-fa437df4c031_SiteId">
    <vt:lpwstr>34cdb737-c4fa-4c21-9a34-88ac2d721f88</vt:lpwstr>
  </property>
  <property fmtid="{D5CDD505-2E9C-101B-9397-08002B2CF9AE}" pid="7" name="MSIP_Label_c8e5a7ee-c283-40b0-98eb-fa437df4c031_ActionId">
    <vt:lpwstr>2f5e9fa8-1c79-4938-a0c2-6247a50e8e58</vt:lpwstr>
  </property>
  <property fmtid="{D5CDD505-2E9C-101B-9397-08002B2CF9AE}" pid="8" name="MSIP_Label_c8e5a7ee-c283-40b0-98eb-fa437df4c031_ContentBits">
    <vt:lpwstr>0</vt:lpwstr>
  </property>
  <property fmtid="{D5CDD505-2E9C-101B-9397-08002B2CF9AE}" pid="9" name="MSIP_Label_c8e5a7ee-c283-40b0-98eb-fa437df4c031_Tag">
    <vt:lpwstr>10, 0, 1, 1</vt:lpwstr>
  </property>
</Properties>
</file>