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ACB9B" w14:textId="77777777" w:rsidR="00E51729" w:rsidRPr="008B03E9" w:rsidRDefault="002B5FE5" w:rsidP="007C6FBC">
      <w:pPr>
        <w:pStyle w:val="Title"/>
        <w:jc w:val="center"/>
        <w:rPr>
          <w:b/>
          <w:sz w:val="40"/>
          <w:szCs w:val="40"/>
          <w:u w:val="single"/>
        </w:rPr>
      </w:pPr>
      <w:r w:rsidRPr="008B03E9">
        <w:rPr>
          <w:b/>
          <w:sz w:val="40"/>
          <w:szCs w:val="40"/>
          <w:u w:val="single"/>
        </w:rPr>
        <w:t>‘Dos’ and ‘Don’ts’ for P</w:t>
      </w:r>
      <w:r w:rsidR="003E518E" w:rsidRPr="008B03E9">
        <w:rPr>
          <w:b/>
          <w:sz w:val="40"/>
          <w:szCs w:val="40"/>
          <w:u w:val="single"/>
        </w:rPr>
        <w:t xml:space="preserve">ost, </w:t>
      </w:r>
      <w:r w:rsidRPr="008B03E9">
        <w:rPr>
          <w:b/>
          <w:sz w:val="40"/>
          <w:szCs w:val="40"/>
          <w:u w:val="single"/>
        </w:rPr>
        <w:t>D</w:t>
      </w:r>
      <w:r w:rsidR="003E518E" w:rsidRPr="008B03E9">
        <w:rPr>
          <w:b/>
          <w:sz w:val="40"/>
          <w:szCs w:val="40"/>
          <w:u w:val="single"/>
        </w:rPr>
        <w:t xml:space="preserve">igital &amp; </w:t>
      </w:r>
      <w:r w:rsidRPr="008B03E9">
        <w:rPr>
          <w:b/>
          <w:sz w:val="40"/>
          <w:szCs w:val="40"/>
          <w:u w:val="single"/>
        </w:rPr>
        <w:t>V</w:t>
      </w:r>
      <w:r w:rsidR="003E518E" w:rsidRPr="008B03E9">
        <w:rPr>
          <w:b/>
          <w:sz w:val="40"/>
          <w:szCs w:val="40"/>
          <w:u w:val="single"/>
        </w:rPr>
        <w:t>isual</w:t>
      </w:r>
      <w:r w:rsidR="00591F2B" w:rsidRPr="008B03E9">
        <w:rPr>
          <w:b/>
          <w:sz w:val="40"/>
          <w:szCs w:val="40"/>
          <w:u w:val="single"/>
        </w:rPr>
        <w:t xml:space="preserve"> Effects</w:t>
      </w:r>
      <w:r w:rsidR="002F7877" w:rsidRPr="008B03E9">
        <w:rPr>
          <w:b/>
          <w:sz w:val="40"/>
          <w:szCs w:val="40"/>
          <w:u w:val="single"/>
        </w:rPr>
        <w:t xml:space="preserve"> Offset</w:t>
      </w:r>
      <w:r w:rsidRPr="008B03E9">
        <w:rPr>
          <w:b/>
          <w:sz w:val="40"/>
          <w:szCs w:val="40"/>
          <w:u w:val="single"/>
        </w:rPr>
        <w:t xml:space="preserve"> &amp; Location Offset applicants</w:t>
      </w:r>
    </w:p>
    <w:p w14:paraId="1DB1D5B3" w14:textId="77777777" w:rsidR="00E51729" w:rsidRPr="008B03E9" w:rsidRDefault="00E51729" w:rsidP="007C6FBC">
      <w:pPr>
        <w:pStyle w:val="Title"/>
        <w:rPr>
          <w:b/>
          <w:color w:val="00B050"/>
          <w:sz w:val="44"/>
          <w:szCs w:val="44"/>
        </w:rPr>
      </w:pPr>
      <w:r w:rsidRPr="008B03E9">
        <w:rPr>
          <w:b/>
          <w:color w:val="00B050"/>
          <w:sz w:val="44"/>
          <w:szCs w:val="44"/>
        </w:rPr>
        <w:t>Do</w:t>
      </w:r>
      <w:r w:rsidR="00D6029A" w:rsidRPr="008B03E9">
        <w:rPr>
          <w:b/>
          <w:color w:val="00B050"/>
          <w:sz w:val="44"/>
          <w:szCs w:val="44"/>
        </w:rPr>
        <w:t>…</w:t>
      </w:r>
    </w:p>
    <w:p w14:paraId="4A5FE614" w14:textId="77777777" w:rsidR="009C7A13" w:rsidRPr="009C7A13" w:rsidRDefault="00A5101E" w:rsidP="00E51729">
      <w:pPr>
        <w:rPr>
          <w:b/>
          <w:u w:val="single"/>
        </w:rPr>
      </w:pPr>
      <w:r>
        <w:rPr>
          <w:b/>
          <w:u w:val="single"/>
        </w:rPr>
        <w:t>Before</w:t>
      </w:r>
      <w:r w:rsidR="008C2804">
        <w:rPr>
          <w:b/>
          <w:u w:val="single"/>
        </w:rPr>
        <w:t xml:space="preserve"> production</w:t>
      </w:r>
      <w:r w:rsidR="0096157F">
        <w:rPr>
          <w:b/>
          <w:u w:val="single"/>
        </w:rPr>
        <w:t xml:space="preserve"> starts</w:t>
      </w:r>
      <w:r>
        <w:rPr>
          <w:b/>
          <w:u w:val="single"/>
        </w:rPr>
        <w:t>:</w:t>
      </w:r>
    </w:p>
    <w:p w14:paraId="5C0A73FE" w14:textId="77777777" w:rsidR="00E51729" w:rsidRDefault="00F10639" w:rsidP="001C2C3F">
      <w:pPr>
        <w:pStyle w:val="ListParagraph"/>
        <w:numPr>
          <w:ilvl w:val="0"/>
          <w:numId w:val="5"/>
        </w:numPr>
        <w:ind w:left="714" w:hanging="357"/>
        <w:contextualSpacing w:val="0"/>
      </w:pPr>
      <w:r>
        <w:t>If you can, h</w:t>
      </w:r>
      <w:r w:rsidR="006B2C82">
        <w:t>ire</w:t>
      </w:r>
      <w:r w:rsidR="00E51729">
        <w:t xml:space="preserve"> an experienced production accountant and use industry-specific software to track your expenditure during production and/or post-production. Make sure you also keep a backup for your expenditure.</w:t>
      </w:r>
    </w:p>
    <w:p w14:paraId="1810B23D" w14:textId="77777777" w:rsidR="00E51729" w:rsidRDefault="006B2C82" w:rsidP="001C2C3F">
      <w:pPr>
        <w:pStyle w:val="ListParagraph"/>
        <w:numPr>
          <w:ilvl w:val="0"/>
          <w:numId w:val="5"/>
        </w:numPr>
        <w:ind w:left="714" w:hanging="357"/>
        <w:contextualSpacing w:val="0"/>
      </w:pPr>
      <w:r>
        <w:t>Read</w:t>
      </w:r>
      <w:r w:rsidR="00E51729">
        <w:t xml:space="preserve"> and re-read the </w:t>
      </w:r>
      <w:hyperlink r:id="rId8" w:history="1">
        <w:r w:rsidR="00214B40">
          <w:rPr>
            <w:rStyle w:val="Hyperlink"/>
          </w:rPr>
          <w:t>Guidelines</w:t>
        </w:r>
      </w:hyperlink>
      <w:r w:rsidR="00214B40">
        <w:t xml:space="preserve"> </w:t>
      </w:r>
      <w:r w:rsidR="0037683A">
        <w:t xml:space="preserve">. Feel free to reach out to the </w:t>
      </w:r>
      <w:r w:rsidR="00072F6C">
        <w:t xml:space="preserve">Office for the Arts </w:t>
      </w:r>
      <w:r w:rsidR="0037683A">
        <w:t>if you need anything clarified.</w:t>
      </w:r>
      <w:r w:rsidR="00AF16DA">
        <w:t xml:space="preserve"> </w:t>
      </w:r>
      <w:r w:rsidR="00245E28" w:rsidRPr="004B71F9">
        <w:t xml:space="preserve">You can contact the Screen Incentives Team on 02 6271 1543 or by email at </w:t>
      </w:r>
      <w:hyperlink r:id="rId9" w:history="1">
        <w:r w:rsidR="00245E28" w:rsidRPr="004B71F9">
          <w:rPr>
            <w:rStyle w:val="Hyperlink"/>
          </w:rPr>
          <w:t>filmenquiries@arts.gov.au</w:t>
        </w:r>
      </w:hyperlink>
      <w:r w:rsidR="00245E28" w:rsidRPr="004B71F9">
        <w:t>.</w:t>
      </w:r>
    </w:p>
    <w:p w14:paraId="53929544" w14:textId="77777777" w:rsidR="00A5101E" w:rsidRDefault="00A5101E" w:rsidP="001C2C3F">
      <w:pPr>
        <w:pStyle w:val="ListParagraph"/>
        <w:numPr>
          <w:ilvl w:val="0"/>
          <w:numId w:val="5"/>
        </w:numPr>
        <w:ind w:left="714" w:hanging="357"/>
        <w:contextualSpacing w:val="0"/>
      </w:pPr>
      <w:r>
        <w:t>Seek out tax advice on the best company structure for your project – is a Special Purpose Vehicle (SPV) right for you?</w:t>
      </w:r>
    </w:p>
    <w:p w14:paraId="39753A01" w14:textId="77777777" w:rsidR="008C2804" w:rsidRDefault="008C2804" w:rsidP="001C2C3F">
      <w:pPr>
        <w:pStyle w:val="ListParagraph"/>
        <w:numPr>
          <w:ilvl w:val="0"/>
          <w:numId w:val="5"/>
        </w:numPr>
        <w:ind w:left="714" w:hanging="357"/>
        <w:contextualSpacing w:val="0"/>
      </w:pPr>
      <w:r>
        <w:t>Have all contracts and agreements in place with the applicant company.</w:t>
      </w:r>
      <w:r w:rsidR="00245E28">
        <w:t xml:space="preserve"> </w:t>
      </w:r>
    </w:p>
    <w:p w14:paraId="613F0C35" w14:textId="77777777" w:rsidR="008C2804" w:rsidRDefault="008C2804" w:rsidP="001C2C3F">
      <w:pPr>
        <w:pStyle w:val="ListParagraph"/>
        <w:numPr>
          <w:ilvl w:val="0"/>
          <w:numId w:val="5"/>
        </w:numPr>
        <w:ind w:left="714" w:hanging="357"/>
        <w:contextualSpacing w:val="0"/>
      </w:pPr>
      <w:r>
        <w:t>Make sure the applicant company is incurring the costs that are potentially Qualifying Australian Production Expenditure.</w:t>
      </w:r>
    </w:p>
    <w:p w14:paraId="4AC430E8" w14:textId="77777777" w:rsidR="008C2804" w:rsidRDefault="008C2804" w:rsidP="00E50DF1">
      <w:pPr>
        <w:pStyle w:val="ListParagraph"/>
        <w:numPr>
          <w:ilvl w:val="0"/>
          <w:numId w:val="5"/>
        </w:numPr>
      </w:pPr>
      <w:r>
        <w:t>Accurately record all expenditure incurred and all transactions.</w:t>
      </w:r>
    </w:p>
    <w:p w14:paraId="63952472" w14:textId="77777777" w:rsidR="00A5101E" w:rsidRPr="00A5101E" w:rsidRDefault="00A5101E" w:rsidP="00A5101E">
      <w:pPr>
        <w:rPr>
          <w:b/>
          <w:u w:val="single"/>
        </w:rPr>
      </w:pPr>
      <w:r>
        <w:rPr>
          <w:b/>
          <w:u w:val="single"/>
        </w:rPr>
        <w:t>During production:</w:t>
      </w:r>
    </w:p>
    <w:p w14:paraId="6BA42664" w14:textId="77777777" w:rsidR="0037683A" w:rsidRDefault="006B2C82" w:rsidP="00E51729">
      <w:pPr>
        <w:pStyle w:val="ListParagraph"/>
        <w:numPr>
          <w:ilvl w:val="0"/>
          <w:numId w:val="3"/>
        </w:numPr>
      </w:pPr>
      <w:r>
        <w:t>Make sure</w:t>
      </w:r>
      <w:r w:rsidR="0037683A">
        <w:t xml:space="preserve"> that your general ledger has sufficient detail to speed up the review process. In particular, make sure you include the following:</w:t>
      </w:r>
    </w:p>
    <w:p w14:paraId="1361C9A2" w14:textId="77777777" w:rsidR="0037683A" w:rsidRDefault="002B5FE5" w:rsidP="0037683A">
      <w:pPr>
        <w:pStyle w:val="ListParagraph"/>
        <w:numPr>
          <w:ilvl w:val="1"/>
          <w:numId w:val="3"/>
        </w:numPr>
      </w:pPr>
      <w:r>
        <w:t>Dates for hire/service periods.</w:t>
      </w:r>
    </w:p>
    <w:p w14:paraId="298116B5" w14:textId="77777777" w:rsidR="002B5FE5" w:rsidRDefault="002B5FE5" w:rsidP="0037683A">
      <w:pPr>
        <w:pStyle w:val="ListParagraph"/>
        <w:numPr>
          <w:ilvl w:val="1"/>
          <w:numId w:val="3"/>
        </w:numPr>
      </w:pPr>
      <w:r>
        <w:t>Names and positions of individual</w:t>
      </w:r>
      <w:r w:rsidR="0055101C">
        <w:t>.</w:t>
      </w:r>
    </w:p>
    <w:p w14:paraId="5850E2D6" w14:textId="77777777" w:rsidR="0055101C" w:rsidRDefault="0055101C" w:rsidP="0037683A">
      <w:pPr>
        <w:pStyle w:val="ListParagraph"/>
        <w:numPr>
          <w:ilvl w:val="1"/>
          <w:numId w:val="3"/>
        </w:numPr>
      </w:pPr>
      <w:r>
        <w:t>Weekly rates (not just lump sum amounts).</w:t>
      </w:r>
    </w:p>
    <w:p w14:paraId="321B17B7" w14:textId="77777777" w:rsidR="0055101C" w:rsidRDefault="0055101C" w:rsidP="001C2C3F">
      <w:pPr>
        <w:pStyle w:val="ListParagraph"/>
        <w:numPr>
          <w:ilvl w:val="1"/>
          <w:numId w:val="3"/>
        </w:numPr>
        <w:ind w:left="1434" w:hanging="357"/>
        <w:contextualSpacing w:val="0"/>
      </w:pPr>
      <w:r>
        <w:t>Destinations and to-and-from dates for travel.</w:t>
      </w:r>
    </w:p>
    <w:p w14:paraId="54699781" w14:textId="77777777" w:rsidR="00A5101E" w:rsidRPr="00A5101E" w:rsidRDefault="00A5101E" w:rsidP="001C2C3F">
      <w:pPr>
        <w:pStyle w:val="ListParagraph"/>
        <w:numPr>
          <w:ilvl w:val="0"/>
          <w:numId w:val="3"/>
        </w:numPr>
        <w:ind w:left="714" w:hanging="357"/>
        <w:contextualSpacing w:val="0"/>
      </w:pPr>
      <w:r w:rsidRPr="00A5101E">
        <w:t>Make sure that all above-the-line contracts match your actual expenditure and include dates and details of services provided</w:t>
      </w:r>
      <w:r w:rsidR="00EE3B60">
        <w:t>. I</w:t>
      </w:r>
      <w:r w:rsidRPr="00A5101E">
        <w:t>f there are any changes, make sure you have amendments in place.</w:t>
      </w:r>
    </w:p>
    <w:p w14:paraId="71E60966" w14:textId="19090389" w:rsidR="00A5101E" w:rsidRDefault="00A5101E" w:rsidP="001C2C3F">
      <w:pPr>
        <w:pStyle w:val="ListParagraph"/>
        <w:numPr>
          <w:ilvl w:val="0"/>
          <w:numId w:val="3"/>
        </w:numPr>
        <w:ind w:left="714" w:hanging="357"/>
        <w:contextualSpacing w:val="0"/>
      </w:pPr>
      <w:r>
        <w:t xml:space="preserve">If your application includes interested party expenditure, make sure you include specific details in your general ledger and have all of the relevant contracting in place. </w:t>
      </w:r>
      <w:r w:rsidR="008F2CAB">
        <w:t xml:space="preserve">You may be required to provide </w:t>
      </w:r>
      <w:r>
        <w:t xml:space="preserve">benchmarking and third-party quotes for interested-party expenditure. </w:t>
      </w:r>
    </w:p>
    <w:p w14:paraId="21039095" w14:textId="48813959" w:rsidR="00A5101E" w:rsidRDefault="00A5101E" w:rsidP="001C2C3F">
      <w:pPr>
        <w:pStyle w:val="ListParagraph"/>
        <w:numPr>
          <w:ilvl w:val="0"/>
          <w:numId w:val="3"/>
        </w:numPr>
        <w:ind w:left="714" w:hanging="357"/>
        <w:contextualSpacing w:val="0"/>
      </w:pPr>
      <w:r>
        <w:t xml:space="preserve"> Make sure that all expenditure you intend to claim as QAPE</w:t>
      </w:r>
      <w:r w:rsidR="00245E28">
        <w:t xml:space="preserve"> </w:t>
      </w:r>
      <w:r w:rsidR="00245E28" w:rsidRPr="00BB3F21">
        <w:t xml:space="preserve">(Qualifying Australian Production Expenditure) </w:t>
      </w:r>
      <w:r>
        <w:t xml:space="preserve">was incurred by the applicant company. The </w:t>
      </w:r>
      <w:r w:rsidR="00B1544B">
        <w:t xml:space="preserve">Office for the Arts </w:t>
      </w:r>
      <w:r>
        <w:t>needs to see evidence that there was a liability to pay for the applicant company.</w:t>
      </w:r>
    </w:p>
    <w:p w14:paraId="20CE67CB" w14:textId="77777777" w:rsidR="00A5101E" w:rsidRDefault="00A5101E" w:rsidP="00A5101E">
      <w:pPr>
        <w:pStyle w:val="ListParagraph"/>
        <w:numPr>
          <w:ilvl w:val="1"/>
          <w:numId w:val="3"/>
        </w:numPr>
      </w:pPr>
      <w:r>
        <w:t>If you need to change the applicant company during the QAPE period, make sure this happens before the final item of QAPE. You should also keep a record of the company transfer, including all of the transactions you wish to claim as QAPE being transferred to the new applicant company.</w:t>
      </w:r>
    </w:p>
    <w:p w14:paraId="7DAB80B6" w14:textId="77777777" w:rsidR="008B03E9" w:rsidRDefault="008B03E9" w:rsidP="007C6FBC">
      <w:pPr>
        <w:rPr>
          <w:b/>
          <w:u w:val="single"/>
        </w:rPr>
      </w:pPr>
    </w:p>
    <w:p w14:paraId="3C48E955" w14:textId="77777777" w:rsidR="008B03E9" w:rsidRDefault="008B03E9" w:rsidP="007C6FBC">
      <w:pPr>
        <w:rPr>
          <w:b/>
          <w:u w:val="single"/>
        </w:rPr>
      </w:pPr>
    </w:p>
    <w:p w14:paraId="29708B0C" w14:textId="3775C665" w:rsidR="00A5101E" w:rsidRPr="007C6FBC" w:rsidRDefault="007C6FBC" w:rsidP="007C6FBC">
      <w:pPr>
        <w:rPr>
          <w:b/>
          <w:u w:val="single"/>
        </w:rPr>
      </w:pPr>
      <w:r>
        <w:rPr>
          <w:b/>
          <w:u w:val="single"/>
        </w:rPr>
        <w:lastRenderedPageBreak/>
        <w:t>When drafting your application:</w:t>
      </w:r>
    </w:p>
    <w:p w14:paraId="5D931CF4" w14:textId="77777777" w:rsidR="00571D2A" w:rsidRDefault="00571D2A" w:rsidP="001C2C3F">
      <w:pPr>
        <w:pStyle w:val="ListParagraph"/>
        <w:numPr>
          <w:ilvl w:val="0"/>
          <w:numId w:val="3"/>
        </w:numPr>
        <w:ind w:hanging="357"/>
        <w:contextualSpacing w:val="0"/>
      </w:pPr>
      <w:r>
        <w:t xml:space="preserve">Include the correct contact person on the application form. The </w:t>
      </w:r>
      <w:r w:rsidR="00B1544B">
        <w:t xml:space="preserve">Office for the Arts </w:t>
      </w:r>
      <w:r>
        <w:t xml:space="preserve">can only contact the </w:t>
      </w:r>
      <w:r w:rsidR="007C6FBC">
        <w:t>people</w:t>
      </w:r>
      <w:r>
        <w:t xml:space="preserve"> listed in the application form about matter</w:t>
      </w:r>
      <w:r w:rsidR="00714875">
        <w:t>s</w:t>
      </w:r>
      <w:r>
        <w:t xml:space="preserve"> related to the application. You can include up to two people in the application form – if you would like to include additional contacts, you can </w:t>
      </w:r>
      <w:r w:rsidR="00041BD6">
        <w:t xml:space="preserve">notify the </w:t>
      </w:r>
      <w:r w:rsidR="00B1544B">
        <w:t xml:space="preserve">Office for the Arts </w:t>
      </w:r>
      <w:r w:rsidR="00714875">
        <w:t>by</w:t>
      </w:r>
      <w:r w:rsidR="00041BD6">
        <w:t xml:space="preserve"> email.</w:t>
      </w:r>
    </w:p>
    <w:p w14:paraId="6FCAB56C" w14:textId="77777777" w:rsidR="00041BD6" w:rsidRDefault="00041BD6" w:rsidP="001C2C3F">
      <w:pPr>
        <w:pStyle w:val="ListParagraph"/>
        <w:numPr>
          <w:ilvl w:val="0"/>
          <w:numId w:val="3"/>
        </w:numPr>
        <w:ind w:hanging="357"/>
        <w:contextualSpacing w:val="0"/>
      </w:pPr>
      <w:r>
        <w:t xml:space="preserve">For provisional applications, streamline the assessment process by providing only the budget that you want the </w:t>
      </w:r>
      <w:r w:rsidR="00B1544B">
        <w:t xml:space="preserve">Office for the Arts </w:t>
      </w:r>
      <w:r>
        <w:t xml:space="preserve">to look at. For example, if you are submitting a provisional application under the PDV Offset, only submit your PDV QAPE budget rather than the whole general ledger workbook. </w:t>
      </w:r>
    </w:p>
    <w:p w14:paraId="4E9EE8F1" w14:textId="77777777" w:rsidR="00CE05A8" w:rsidRDefault="00041BD6" w:rsidP="001C2C3F">
      <w:pPr>
        <w:pStyle w:val="ListParagraph"/>
        <w:numPr>
          <w:ilvl w:val="1"/>
          <w:numId w:val="3"/>
        </w:numPr>
        <w:ind w:hanging="357"/>
        <w:contextualSpacing w:val="0"/>
      </w:pPr>
      <w:r>
        <w:t>Note: If you’ve used Screen Australia’s A-Z Budget template, make sure you’ve adjusted it for the relevant offset</w:t>
      </w:r>
      <w:r w:rsidR="008E6651">
        <w:t xml:space="preserve">. In </w:t>
      </w:r>
      <w:r>
        <w:t>particular</w:t>
      </w:r>
      <w:r w:rsidR="008E6651">
        <w:t>, if you’re claiming general business overheads, make sure you’ve use</w:t>
      </w:r>
      <w:r w:rsidR="00CE05A8">
        <w:t>d</w:t>
      </w:r>
      <w:r w:rsidR="008E6651">
        <w:t xml:space="preserve"> the correct rate in your calculations</w:t>
      </w:r>
      <w:r w:rsidR="00CE05A8">
        <w:t>!</w:t>
      </w:r>
      <w:r w:rsidR="008E6651">
        <w:t xml:space="preserve"> </w:t>
      </w:r>
    </w:p>
    <w:p w14:paraId="415B575E" w14:textId="77777777" w:rsidR="00041BD6" w:rsidRDefault="00CE05A8" w:rsidP="001C2C3F">
      <w:pPr>
        <w:pStyle w:val="ListParagraph"/>
        <w:numPr>
          <w:ilvl w:val="2"/>
          <w:numId w:val="3"/>
        </w:numPr>
        <w:ind w:hanging="357"/>
        <w:contextualSpacing w:val="0"/>
      </w:pPr>
      <w:r>
        <w:t xml:space="preserve">For the PDV and Location Offsets, applicants can claim genuinely incurred overheads at a rate of </w:t>
      </w:r>
      <w:r w:rsidR="008E6651">
        <w:t xml:space="preserve">2 per cent of the total production expenditure </w:t>
      </w:r>
      <w:r>
        <w:t>up to $500,000.</w:t>
      </w:r>
    </w:p>
    <w:p w14:paraId="6833879D" w14:textId="77777777" w:rsidR="00081393" w:rsidRDefault="00081393" w:rsidP="00081393">
      <w:pPr>
        <w:pStyle w:val="ListParagraph"/>
        <w:numPr>
          <w:ilvl w:val="0"/>
          <w:numId w:val="3"/>
        </w:numPr>
      </w:pPr>
      <w:r>
        <w:t xml:space="preserve">Clearly title all documents – </w:t>
      </w:r>
      <w:r w:rsidR="00CD3BEB">
        <w:t xml:space="preserve">this includes </w:t>
      </w:r>
      <w:r>
        <w:t xml:space="preserve">budgets, invoices, contracts and any other relevant materials. </w:t>
      </w:r>
      <w:r w:rsidR="00CD3BEB">
        <w:t xml:space="preserve">The easier your application is to navigate, the </w:t>
      </w:r>
    </w:p>
    <w:p w14:paraId="1BE68367" w14:textId="77777777" w:rsidR="00CD3BEB" w:rsidRDefault="00CD3BEB" w:rsidP="00CD3BEB">
      <w:pPr>
        <w:numPr>
          <w:ilvl w:val="0"/>
          <w:numId w:val="3"/>
        </w:numPr>
      </w:pPr>
      <w:r w:rsidRPr="00BB3F21">
        <w:t xml:space="preserve">Remember the </w:t>
      </w:r>
      <w:r>
        <w:t>Location and PDV</w:t>
      </w:r>
      <w:r w:rsidRPr="00BB3F21">
        <w:t xml:space="preserve"> Offset</w:t>
      </w:r>
      <w:r>
        <w:t>s</w:t>
      </w:r>
      <w:r w:rsidRPr="00BB3F21">
        <w:t xml:space="preserve"> </w:t>
      </w:r>
      <w:r>
        <w:t>are</w:t>
      </w:r>
      <w:r w:rsidRPr="00BB3F21">
        <w:t xml:space="preserve"> administered by </w:t>
      </w:r>
      <w:r>
        <w:t>the Department</w:t>
      </w:r>
      <w:r w:rsidRPr="00BB3F21">
        <w:t xml:space="preserve"> under Division 376 of the </w:t>
      </w:r>
      <w:hyperlink r:id="rId10" w:anchor="_Toc94868448" w:tgtFrame="_blank" w:history="1">
        <w:r w:rsidRPr="00BB3F21">
          <w:rPr>
            <w:rStyle w:val="Hyperlink"/>
          </w:rPr>
          <w:t>Income Tax Assessment Act 1997</w:t>
        </w:r>
      </w:hyperlink>
      <w:r w:rsidR="00161A56">
        <w:t>,</w:t>
      </w:r>
      <w:r w:rsidRPr="00BB3F21">
        <w:t xml:space="preserve"> the</w:t>
      </w:r>
      <w:r w:rsidR="00161A56">
        <w:t xml:space="preserve"> </w:t>
      </w:r>
      <w:hyperlink r:id="rId11" w:history="1">
        <w:r w:rsidR="00161A56">
          <w:rPr>
            <w:rStyle w:val="Hyperlink"/>
          </w:rPr>
          <w:t>PDV Offset Rules 2018</w:t>
        </w:r>
      </w:hyperlink>
      <w:r w:rsidRPr="00BB3F21">
        <w:t> </w:t>
      </w:r>
      <w:r w:rsidR="00161A56">
        <w:t xml:space="preserve">and the </w:t>
      </w:r>
      <w:hyperlink r:id="rId12" w:history="1">
        <w:r w:rsidR="00161A56">
          <w:rPr>
            <w:rStyle w:val="Hyperlink"/>
          </w:rPr>
          <w:t>Location Offset Rules 2018</w:t>
        </w:r>
      </w:hyperlink>
      <w:r w:rsidR="00161A56">
        <w:t xml:space="preserve"> </w:t>
      </w:r>
      <w:r w:rsidRPr="00BB3F21">
        <w:t xml:space="preserve"> (the Rules). </w:t>
      </w:r>
      <w:r>
        <w:t xml:space="preserve">The </w:t>
      </w:r>
      <w:r w:rsidR="00B1544B">
        <w:t xml:space="preserve">Office for the Arts </w:t>
      </w:r>
      <w:r w:rsidRPr="00BB3F21">
        <w:t>has a</w:t>
      </w:r>
      <w:r w:rsidR="00485E3C">
        <w:t xml:space="preserve"> legal </w:t>
      </w:r>
      <w:r w:rsidRPr="00BB3F21">
        <w:t xml:space="preserve">obligation to ensure </w:t>
      </w:r>
      <w:r>
        <w:t>that</w:t>
      </w:r>
      <w:r w:rsidRPr="00BB3F21">
        <w:t xml:space="preserve"> applications meet the requirements of the legislation.</w:t>
      </w:r>
    </w:p>
    <w:p w14:paraId="79E1816A" w14:textId="3EE3A8AC" w:rsidR="00081393" w:rsidRDefault="008C2804" w:rsidP="00081393">
      <w:pPr>
        <w:numPr>
          <w:ilvl w:val="0"/>
          <w:numId w:val="3"/>
        </w:numPr>
      </w:pPr>
      <w:r>
        <w:t xml:space="preserve">Contact the Department on </w:t>
      </w:r>
      <w:r w:rsidRPr="00646FBE">
        <w:rPr>
          <w:u w:val="single"/>
        </w:rPr>
        <w:t>02 6271 1543</w:t>
      </w:r>
      <w:r>
        <w:t xml:space="preserve"> or </w:t>
      </w:r>
      <w:r w:rsidRPr="00646FBE">
        <w:rPr>
          <w:u w:val="single"/>
        </w:rPr>
        <w:t>filmenquiries@arts.gov.au</w:t>
      </w:r>
      <w:r>
        <w:t xml:space="preserve"> if there are any special circumstances that may inform your assessment.</w:t>
      </w:r>
    </w:p>
    <w:p w14:paraId="5B2EB6B8" w14:textId="77777777" w:rsidR="00081393" w:rsidRPr="008B03E9" w:rsidRDefault="00081393" w:rsidP="007C6FBC">
      <w:pPr>
        <w:pStyle w:val="Title"/>
        <w:rPr>
          <w:b/>
          <w:color w:val="FF0000"/>
          <w:sz w:val="44"/>
          <w:szCs w:val="44"/>
        </w:rPr>
      </w:pPr>
      <w:r w:rsidRPr="008B03E9">
        <w:rPr>
          <w:b/>
          <w:color w:val="FF0000"/>
          <w:sz w:val="44"/>
          <w:szCs w:val="44"/>
        </w:rPr>
        <w:t>Don’t…</w:t>
      </w:r>
    </w:p>
    <w:p w14:paraId="2A248A62" w14:textId="77777777" w:rsidR="00081393" w:rsidRPr="004B71F9" w:rsidRDefault="00081393" w:rsidP="001C2C3F">
      <w:pPr>
        <w:pStyle w:val="ListParagraph"/>
        <w:numPr>
          <w:ilvl w:val="0"/>
          <w:numId w:val="6"/>
        </w:numPr>
        <w:ind w:left="714" w:hanging="357"/>
        <w:contextualSpacing w:val="0"/>
      </w:pPr>
      <w:r w:rsidRPr="004B71F9">
        <w:t xml:space="preserve">Don’t submit an incomplete application. </w:t>
      </w:r>
      <w:r w:rsidR="00AD5AD4" w:rsidRPr="004B71F9">
        <w:t xml:space="preserve">If </w:t>
      </w:r>
      <w:r w:rsidR="00697644" w:rsidRPr="004B71F9">
        <w:t xml:space="preserve">you’re unsure about something or </w:t>
      </w:r>
      <w:r w:rsidR="00AD5AD4" w:rsidRPr="004B71F9">
        <w:t xml:space="preserve">need </w:t>
      </w:r>
      <w:r w:rsidR="00697644" w:rsidRPr="004B71F9">
        <w:t xml:space="preserve">some </w:t>
      </w:r>
      <w:r w:rsidR="00AD5AD4" w:rsidRPr="004B71F9">
        <w:t xml:space="preserve">guidance, the Department is happy to assist. You can contact the Screen Incentives Team on </w:t>
      </w:r>
      <w:r w:rsidR="004B71F9" w:rsidRPr="004B71F9">
        <w:t>02</w:t>
      </w:r>
      <w:r w:rsidR="008D4AEA" w:rsidRPr="004B71F9">
        <w:t xml:space="preserve"> </w:t>
      </w:r>
      <w:r w:rsidR="004B71F9" w:rsidRPr="004B71F9">
        <w:t xml:space="preserve">6271 1543 or by email at </w:t>
      </w:r>
      <w:hyperlink r:id="rId13" w:history="1">
        <w:r w:rsidR="004B71F9" w:rsidRPr="004B71F9">
          <w:rPr>
            <w:rStyle w:val="Hyperlink"/>
          </w:rPr>
          <w:t>filmenquiries@arts.gov.au</w:t>
        </w:r>
      </w:hyperlink>
      <w:r w:rsidR="004B71F9" w:rsidRPr="004B71F9">
        <w:t xml:space="preserve">. </w:t>
      </w:r>
    </w:p>
    <w:p w14:paraId="56DDADC3" w14:textId="70973963" w:rsidR="00AD5AD4" w:rsidRDefault="00AD5AD4" w:rsidP="0075529E">
      <w:pPr>
        <w:pStyle w:val="ListParagraph"/>
        <w:numPr>
          <w:ilvl w:val="0"/>
          <w:numId w:val="6"/>
        </w:numPr>
      </w:pPr>
      <w:r>
        <w:t xml:space="preserve">Don’t assume assessment </w:t>
      </w:r>
      <w:r w:rsidR="003A4744">
        <w:t>timeframes are the same for every application</w:t>
      </w:r>
      <w:r>
        <w:t xml:space="preserve">. </w:t>
      </w:r>
      <w:r w:rsidR="003A4744">
        <w:t xml:space="preserve">Depending on the complexity and completeness of each application, </w:t>
      </w:r>
      <w:r w:rsidR="00D77304">
        <w:t xml:space="preserve">an </w:t>
      </w:r>
      <w:r w:rsidR="003A4744">
        <w:t xml:space="preserve">external assessor may need extra time to </w:t>
      </w:r>
      <w:r w:rsidR="00D77304">
        <w:t>review</w:t>
      </w:r>
      <w:r w:rsidR="003A4744">
        <w:t xml:space="preserve"> an application. </w:t>
      </w:r>
      <w:r>
        <w:t>We always endeavour to</w:t>
      </w:r>
      <w:r w:rsidR="00A44DA2">
        <w:t xml:space="preserve"> process your application as quickly as possible, but there are lots of factors that impact assessment time</w:t>
      </w:r>
      <w:r w:rsidR="00D77304">
        <w:t>frames</w:t>
      </w:r>
      <w:r w:rsidR="00A44DA2">
        <w:t>.</w:t>
      </w:r>
      <w:r w:rsidR="00354EAE">
        <w:t xml:space="preserve">  </w:t>
      </w:r>
    </w:p>
    <w:p w14:paraId="115FFBB7" w14:textId="35553739" w:rsidR="00802E45" w:rsidRDefault="00802E45" w:rsidP="0075529E">
      <w:pPr>
        <w:numPr>
          <w:ilvl w:val="0"/>
          <w:numId w:val="6"/>
        </w:numPr>
      </w:pPr>
      <w:r w:rsidRPr="00BB3F21">
        <w:t>Don’t</w:t>
      </w:r>
      <w:r w:rsidR="007D4EF0">
        <w:t xml:space="preserve"> forget to check your QAPE dates! Don’t</w:t>
      </w:r>
      <w:r w:rsidRPr="00BB3F21">
        <w:t xml:space="preserve"> </w:t>
      </w:r>
      <w:proofErr w:type="gramStart"/>
      <w:r w:rsidRPr="00BB3F21">
        <w:t>submit an application</w:t>
      </w:r>
      <w:proofErr w:type="gramEnd"/>
      <w:r w:rsidRPr="00BB3F21">
        <w:t xml:space="preserve"> with mismatching dates or QAPE spreadsheets that don’t match cost reports. Check and recheck the application before you submit.</w:t>
      </w:r>
    </w:p>
    <w:p w14:paraId="2A486835" w14:textId="77777777" w:rsidR="00A44DA2" w:rsidRDefault="007D4EF0" w:rsidP="00A44DA2">
      <w:pPr>
        <w:pStyle w:val="ListParagraph"/>
        <w:numPr>
          <w:ilvl w:val="1"/>
          <w:numId w:val="4"/>
        </w:numPr>
      </w:pPr>
      <w:r>
        <w:t xml:space="preserve">Note: </w:t>
      </w:r>
      <w:r w:rsidR="00A44DA2">
        <w:t xml:space="preserve">For certain applications under the PDV Offset where there are only a few vendors, the first QAPE date is the date the VFX contract is executed (that is, the contract between the applicant company and the digital effects supplier).  </w:t>
      </w:r>
    </w:p>
    <w:p w14:paraId="4761D164" w14:textId="008FFC3D" w:rsidR="00802E45" w:rsidRPr="00081393" w:rsidRDefault="00A44DA2" w:rsidP="008B03E9">
      <w:pPr>
        <w:pStyle w:val="ListParagraph"/>
        <w:numPr>
          <w:ilvl w:val="1"/>
          <w:numId w:val="4"/>
        </w:numPr>
      </w:pPr>
      <w:r>
        <w:t>If the first invoice is issued before the VFX agreement is executed, then the first QAPE date is the date the first invoice was issued. On a case-by-case basis, other documentation may be considered to demonstrate the date in which a legal liability to pay is in place.</w:t>
      </w:r>
      <w:bookmarkStart w:id="0" w:name="_GoBack"/>
      <w:bookmarkEnd w:id="0"/>
    </w:p>
    <w:sectPr w:rsidR="00802E45" w:rsidRPr="00081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2C15"/>
    <w:multiLevelType w:val="hybridMultilevel"/>
    <w:tmpl w:val="CB1C71F4"/>
    <w:lvl w:ilvl="0" w:tplc="AEE4CCAA">
      <w:start w:val="1"/>
      <w:numFmt w:val="bullet"/>
      <w:lvlText w:val=""/>
      <w:lvlJc w:val="left"/>
      <w:pPr>
        <w:ind w:left="720" w:hanging="360"/>
      </w:pPr>
      <w:rPr>
        <w:rFonts w:ascii="Segoe MDL2 Assets" w:hAnsi="Segoe MDL2 Asset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B3924"/>
    <w:multiLevelType w:val="hybridMultilevel"/>
    <w:tmpl w:val="CCF8DA2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75D5B"/>
    <w:multiLevelType w:val="hybridMultilevel"/>
    <w:tmpl w:val="1FF0A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6F78"/>
    <w:multiLevelType w:val="multilevel"/>
    <w:tmpl w:val="2324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063DED"/>
    <w:multiLevelType w:val="hybridMultilevel"/>
    <w:tmpl w:val="CB3E9AF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F5359"/>
    <w:multiLevelType w:val="multilevel"/>
    <w:tmpl w:val="8B58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EB"/>
    <w:rsid w:val="00041BD6"/>
    <w:rsid w:val="00072F6C"/>
    <w:rsid w:val="00081393"/>
    <w:rsid w:val="00161A56"/>
    <w:rsid w:val="001C2C3F"/>
    <w:rsid w:val="001D1440"/>
    <w:rsid w:val="00214B40"/>
    <w:rsid w:val="00245E28"/>
    <w:rsid w:val="002906EE"/>
    <w:rsid w:val="00293899"/>
    <w:rsid w:val="002A65D1"/>
    <w:rsid w:val="002B5FE5"/>
    <w:rsid w:val="002C101E"/>
    <w:rsid w:val="002F7877"/>
    <w:rsid w:val="00312599"/>
    <w:rsid w:val="003305CD"/>
    <w:rsid w:val="00354EAE"/>
    <w:rsid w:val="0037683A"/>
    <w:rsid w:val="003A4744"/>
    <w:rsid w:val="003E518E"/>
    <w:rsid w:val="00472941"/>
    <w:rsid w:val="00485E3C"/>
    <w:rsid w:val="004B71F9"/>
    <w:rsid w:val="0055101C"/>
    <w:rsid w:val="00571D2A"/>
    <w:rsid w:val="00573EF9"/>
    <w:rsid w:val="00575F19"/>
    <w:rsid w:val="00591F2B"/>
    <w:rsid w:val="005C7608"/>
    <w:rsid w:val="005F52C8"/>
    <w:rsid w:val="00646FBE"/>
    <w:rsid w:val="006712D5"/>
    <w:rsid w:val="00683C9C"/>
    <w:rsid w:val="00697644"/>
    <w:rsid w:val="006B2C82"/>
    <w:rsid w:val="00714875"/>
    <w:rsid w:val="00725268"/>
    <w:rsid w:val="0075529E"/>
    <w:rsid w:val="00776AEB"/>
    <w:rsid w:val="007C6FBC"/>
    <w:rsid w:val="007D4EF0"/>
    <w:rsid w:val="007F1211"/>
    <w:rsid w:val="00802E45"/>
    <w:rsid w:val="008B03E9"/>
    <w:rsid w:val="008C2804"/>
    <w:rsid w:val="008D4AEA"/>
    <w:rsid w:val="008E6651"/>
    <w:rsid w:val="008F2CAB"/>
    <w:rsid w:val="0096157F"/>
    <w:rsid w:val="009C7A13"/>
    <w:rsid w:val="00A32FAB"/>
    <w:rsid w:val="00A4277A"/>
    <w:rsid w:val="00A44DA2"/>
    <w:rsid w:val="00A5101E"/>
    <w:rsid w:val="00A65498"/>
    <w:rsid w:val="00AD5AD4"/>
    <w:rsid w:val="00AE2FA4"/>
    <w:rsid w:val="00AF16DA"/>
    <w:rsid w:val="00B1544B"/>
    <w:rsid w:val="00BB3F21"/>
    <w:rsid w:val="00C15AC8"/>
    <w:rsid w:val="00CD3BEB"/>
    <w:rsid w:val="00CE05A8"/>
    <w:rsid w:val="00D10A6D"/>
    <w:rsid w:val="00D20176"/>
    <w:rsid w:val="00D6029A"/>
    <w:rsid w:val="00D77304"/>
    <w:rsid w:val="00E01C97"/>
    <w:rsid w:val="00E50DF1"/>
    <w:rsid w:val="00E51729"/>
    <w:rsid w:val="00E86AF5"/>
    <w:rsid w:val="00ED462B"/>
    <w:rsid w:val="00EE2D75"/>
    <w:rsid w:val="00EE3B60"/>
    <w:rsid w:val="00F10639"/>
    <w:rsid w:val="00F13132"/>
    <w:rsid w:val="00F72AB8"/>
    <w:rsid w:val="00F9728E"/>
    <w:rsid w:val="00FC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5F24F"/>
  <w15:chartTrackingRefBased/>
  <w15:docId w15:val="{84CD2C9A-0443-4CAF-BD41-7B282661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F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F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F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2FAB"/>
    <w:pPr>
      <w:ind w:left="720"/>
      <w:contextualSpacing/>
    </w:pPr>
  </w:style>
  <w:style w:type="table" w:styleId="TableGrid">
    <w:name w:val="Table Grid"/>
    <w:basedOn w:val="TableNormal"/>
    <w:uiPriority w:val="39"/>
    <w:rsid w:val="00E51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6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C6F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330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5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5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5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s.gov.au/funding-and-support/tax-rebates-film-and-television-producers" TargetMode="External"/><Relationship Id="rId13" Type="http://schemas.openxmlformats.org/officeDocument/2006/relationships/hyperlink" Target="mailto:filmenquiries@arts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au/Details/F2018L0011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au/Details/F2018L00114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legislation.gov.au/Details/C2022C00055/Html/Volume_7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filmenquiries@arts.gov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E4C118E5E944AAE21DA935605227B" ma:contentTypeVersion="0" ma:contentTypeDescription="Create a new document." ma:contentTypeScope="" ma:versionID="0af819ee0f8bd191f44f97030d1477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1BD28-5688-40AC-B730-097C86F5BD7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1D90A5-0007-4961-92F3-135A96DC8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88039A-1628-46EC-8A2F-F87E08BEB3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Do's and Don't's for the PDV &amp; Location Offsets - Guidance for applicants</vt:lpstr>
    </vt:vector>
  </TitlesOfParts>
  <Company>Australian Government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Do's and Don't's for the PDV &amp; Location Offsets - Guidance for applicants</dc:title>
  <dc:subject/>
  <dc:creator>Bieleny, Leila</dc:creator>
  <cp:keywords/>
  <dc:description/>
  <cp:lastModifiedBy>Bieleny, Leila</cp:lastModifiedBy>
  <cp:revision>3</cp:revision>
  <dcterms:created xsi:type="dcterms:W3CDTF">2023-03-09T00:10:00Z</dcterms:created>
  <dcterms:modified xsi:type="dcterms:W3CDTF">2023-03-09T00:12:00Z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0x010100E7AE4C118E5E944AAE21DA935605227B</vt:lpwstr>
  </property>
  <property fmtid="{D5CDD505-2E9C-101B-9397-08002B2CF9AE}" pid="3" name="TrimRevisionNumber">
    <vt:i4>39</vt:i4>
  </property>
</Properties>
</file>