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945" w:rsidRDefault="00EB2945" w:rsidP="009B6B47">
      <w:pPr>
        <w:pStyle w:val="Heading1"/>
      </w:pPr>
      <w:r>
        <w:t>Indigenous Visual Arts Industry Support</w:t>
      </w:r>
    </w:p>
    <w:p w:rsidR="003D23A4" w:rsidRPr="00086D37" w:rsidRDefault="003D23A4" w:rsidP="003D23A4">
      <w:r w:rsidRPr="00086D37">
        <w:t>The Indigenous Visual Arts Industry Support programme provides base operational support to a network of around 80 Indigenous-owned or governed art centres, as well as a number of industry service organisations across Australia. This network provides professional opportunities for over 6,000 Aboriginal and Torres Strait Islander visual artists and around 300 Aboriginal and Torres Strait Islander arts workers, most living in remote or very remote communities. Indigenous art centres support the production and marketing of Indigenous art and the intergenerational transmission of stories of law and culture, as well as providing training, economic development, leadership and employment opportunities for Aboriginal and Torres Strait Islander peoples.</w:t>
      </w:r>
    </w:p>
    <w:p w:rsidR="00EB2945" w:rsidRPr="00C15AF6" w:rsidRDefault="003D23A4" w:rsidP="00EB2945">
      <w:pPr>
        <w:pStyle w:val="Heading2"/>
      </w:pPr>
      <w:bookmarkStart w:id="0" w:name="_GoBack"/>
      <w:r w:rsidRPr="00086D37">
        <w:t>Indigenous Visual Arts Industry Support funding recipients 2014–15—February 2015</w:t>
      </w:r>
    </w:p>
    <w:bookmarkEnd w:id="0"/>
    <w:p w:rsidR="00C8567C" w:rsidRPr="00B55747" w:rsidRDefault="003D23A4" w:rsidP="00EB2945">
      <w:pPr>
        <w:pStyle w:val="Heading3"/>
      </w:pPr>
      <w:r>
        <w:t>Northern Territory</w:t>
      </w:r>
      <w:r w:rsidR="00EB2945">
        <w:t>—annual activities</w:t>
      </w:r>
    </w:p>
    <w:tbl>
      <w:tblPr>
        <w:tblStyle w:val="TableGrid"/>
        <w:tblW w:w="14613"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Northern Territory—annual activities"/>
      </w:tblPr>
      <w:tblGrid>
        <w:gridCol w:w="1985"/>
        <w:gridCol w:w="2693"/>
        <w:gridCol w:w="7938"/>
        <w:gridCol w:w="1997"/>
      </w:tblGrid>
      <w:tr w:rsidR="00EB2945" w:rsidTr="00EB2945">
        <w:trPr>
          <w:cantSplit/>
          <w:tblHeader/>
        </w:trPr>
        <w:tc>
          <w:tcPr>
            <w:tcW w:w="1985" w:type="dxa"/>
            <w:tcBorders>
              <w:top w:val="nil"/>
              <w:left w:val="nil"/>
              <w:bottom w:val="thickThinLargeGap" w:sz="24" w:space="0" w:color="auto"/>
              <w:right w:val="nil"/>
            </w:tcBorders>
            <w:shd w:val="clear" w:color="auto" w:fill="C2D69B"/>
          </w:tcPr>
          <w:p w:rsidR="00EB2945" w:rsidRDefault="00EB2945" w:rsidP="007E0AE5">
            <w:pPr>
              <w:pStyle w:val="Tablerowcolumnheading"/>
            </w:pPr>
            <w:r>
              <w:t>Activity location</w:t>
            </w:r>
          </w:p>
        </w:tc>
        <w:tc>
          <w:tcPr>
            <w:tcW w:w="2693" w:type="dxa"/>
            <w:tcBorders>
              <w:top w:val="nil"/>
              <w:left w:val="nil"/>
              <w:bottom w:val="thickThinLargeGap" w:sz="24" w:space="0" w:color="auto"/>
              <w:right w:val="nil"/>
            </w:tcBorders>
            <w:shd w:val="clear" w:color="auto" w:fill="C2D69B"/>
          </w:tcPr>
          <w:p w:rsidR="00EB2945" w:rsidRDefault="00EB2945" w:rsidP="007E0AE5">
            <w:pPr>
              <w:pStyle w:val="Tablerowcolumnheading"/>
            </w:pPr>
            <w:r>
              <w:t>Applicant</w:t>
            </w:r>
          </w:p>
        </w:tc>
        <w:tc>
          <w:tcPr>
            <w:tcW w:w="7938" w:type="dxa"/>
            <w:tcBorders>
              <w:top w:val="nil"/>
              <w:left w:val="nil"/>
              <w:bottom w:val="thickThinLargeGap" w:sz="24" w:space="0" w:color="auto"/>
              <w:right w:val="nil"/>
            </w:tcBorders>
            <w:shd w:val="clear" w:color="auto" w:fill="C2D69B"/>
          </w:tcPr>
          <w:p w:rsidR="00EB2945" w:rsidRDefault="00EB2945" w:rsidP="00EB2945">
            <w:pPr>
              <w:pStyle w:val="Tablerowcolumnheading"/>
            </w:pPr>
            <w:r>
              <w:t>Activity description</w:t>
            </w:r>
          </w:p>
        </w:tc>
        <w:tc>
          <w:tcPr>
            <w:tcW w:w="1997" w:type="dxa"/>
            <w:tcBorders>
              <w:top w:val="nil"/>
              <w:left w:val="nil"/>
              <w:bottom w:val="thickThinLargeGap" w:sz="24" w:space="0" w:color="auto"/>
              <w:right w:val="nil"/>
            </w:tcBorders>
            <w:shd w:val="clear" w:color="auto" w:fill="C2D69B"/>
          </w:tcPr>
          <w:p w:rsidR="00EB2945" w:rsidRDefault="00EB2945" w:rsidP="007E0AE5">
            <w:pPr>
              <w:pStyle w:val="Tablerowcolumnheadingcentred"/>
            </w:pPr>
            <w:r>
              <w:t>Funding 2014–15</w:t>
            </w:r>
          </w:p>
        </w:tc>
      </w:tr>
      <w:tr w:rsidR="003D23A4" w:rsidTr="00EB2945">
        <w:trPr>
          <w:cantSplit/>
        </w:trPr>
        <w:tc>
          <w:tcPr>
            <w:tcW w:w="1985" w:type="dxa"/>
            <w:tcBorders>
              <w:top w:val="thickThinLargeGap" w:sz="24" w:space="0" w:color="auto"/>
              <w:left w:val="nil"/>
              <w:bottom w:val="single" w:sz="4" w:space="0" w:color="auto"/>
              <w:right w:val="nil"/>
            </w:tcBorders>
          </w:tcPr>
          <w:p w:rsidR="003D23A4" w:rsidRPr="00086D37" w:rsidRDefault="003D23A4" w:rsidP="003D23A4">
            <w:pPr>
              <w:pStyle w:val="Tabletext"/>
            </w:pPr>
            <w:r w:rsidRPr="00086D37">
              <w:t>Winnellie</w:t>
            </w:r>
          </w:p>
        </w:tc>
        <w:tc>
          <w:tcPr>
            <w:tcW w:w="2693" w:type="dxa"/>
            <w:tcBorders>
              <w:top w:val="thickThinLargeGap" w:sz="24" w:space="0" w:color="auto"/>
              <w:left w:val="nil"/>
              <w:bottom w:val="single" w:sz="4" w:space="0" w:color="auto"/>
              <w:right w:val="nil"/>
            </w:tcBorders>
          </w:tcPr>
          <w:p w:rsidR="003D23A4" w:rsidRPr="00086D37" w:rsidRDefault="003D23A4" w:rsidP="003D23A4">
            <w:pPr>
              <w:pStyle w:val="Tabletext"/>
            </w:pPr>
            <w:proofErr w:type="spellStart"/>
            <w:r w:rsidRPr="00086D37">
              <w:t>Bawinanga</w:t>
            </w:r>
            <w:proofErr w:type="spellEnd"/>
            <w:r w:rsidRPr="00086D37">
              <w:t xml:space="preserve"> Aboriginal Corporation</w:t>
            </w:r>
          </w:p>
        </w:tc>
        <w:tc>
          <w:tcPr>
            <w:tcW w:w="7938" w:type="dxa"/>
            <w:tcBorders>
              <w:top w:val="thickThinLargeGap" w:sz="24" w:space="0" w:color="auto"/>
              <w:left w:val="nil"/>
              <w:bottom w:val="single" w:sz="4" w:space="0" w:color="auto"/>
              <w:right w:val="nil"/>
            </w:tcBorders>
          </w:tcPr>
          <w:p w:rsidR="003D23A4" w:rsidRPr="00086D37" w:rsidRDefault="003D23A4" w:rsidP="003D23A4">
            <w:pPr>
              <w:pStyle w:val="Tabletext"/>
            </w:pPr>
            <w:r w:rsidRPr="00086D37">
              <w:t>To enable Maningrida Arts and Culture to deliver visual arts services for Indigenous artists in the Maningrida region.</w:t>
            </w:r>
          </w:p>
        </w:tc>
        <w:tc>
          <w:tcPr>
            <w:tcW w:w="1997" w:type="dxa"/>
            <w:tcBorders>
              <w:top w:val="thickThinLargeGap" w:sz="24" w:space="0" w:color="auto"/>
              <w:left w:val="nil"/>
              <w:bottom w:val="single" w:sz="4" w:space="0" w:color="auto"/>
              <w:right w:val="nil"/>
            </w:tcBorders>
          </w:tcPr>
          <w:p w:rsidR="003D23A4" w:rsidRPr="00086D37" w:rsidRDefault="003D23A4" w:rsidP="003D23A4">
            <w:pPr>
              <w:pStyle w:val="Tabletextcentred"/>
            </w:pPr>
            <w:r w:rsidRPr="00086D37">
              <w:t>$120,000</w:t>
            </w:r>
          </w:p>
        </w:tc>
      </w:tr>
      <w:tr w:rsidR="003D23A4" w:rsidTr="003D23A4">
        <w:trPr>
          <w:cantSplit/>
        </w:trPr>
        <w:tc>
          <w:tcPr>
            <w:tcW w:w="1985" w:type="dxa"/>
            <w:tcBorders>
              <w:top w:val="single" w:sz="4" w:space="0" w:color="auto"/>
              <w:left w:val="nil"/>
              <w:bottom w:val="single" w:sz="4" w:space="0" w:color="auto"/>
              <w:right w:val="nil"/>
            </w:tcBorders>
          </w:tcPr>
          <w:p w:rsidR="003D23A4" w:rsidRPr="00086D37" w:rsidRDefault="003D23A4" w:rsidP="003D23A4">
            <w:pPr>
              <w:pStyle w:val="Tabletext"/>
            </w:pPr>
            <w:r w:rsidRPr="00086D37">
              <w:t>Darwin</w:t>
            </w:r>
          </w:p>
        </w:tc>
        <w:tc>
          <w:tcPr>
            <w:tcW w:w="2693" w:type="dxa"/>
            <w:tcBorders>
              <w:top w:val="single" w:sz="4" w:space="0" w:color="auto"/>
              <w:left w:val="nil"/>
              <w:bottom w:val="single" w:sz="4" w:space="0" w:color="auto"/>
              <w:right w:val="nil"/>
            </w:tcBorders>
          </w:tcPr>
          <w:p w:rsidR="003D23A4" w:rsidRPr="00086D37" w:rsidRDefault="003D23A4" w:rsidP="003D23A4">
            <w:pPr>
              <w:pStyle w:val="Tabletext"/>
            </w:pPr>
            <w:r w:rsidRPr="00086D37">
              <w:t>Association of Northern Kimberley and Arnhem Aboriginal Artists</w:t>
            </w:r>
          </w:p>
        </w:tc>
        <w:tc>
          <w:tcPr>
            <w:tcW w:w="7938" w:type="dxa"/>
            <w:tcBorders>
              <w:top w:val="single" w:sz="4" w:space="0" w:color="auto"/>
              <w:left w:val="nil"/>
              <w:bottom w:val="single" w:sz="4" w:space="0" w:color="auto"/>
              <w:right w:val="nil"/>
            </w:tcBorders>
          </w:tcPr>
          <w:p w:rsidR="003D23A4" w:rsidRPr="00086D37" w:rsidRDefault="003D23A4" w:rsidP="003D23A4">
            <w:pPr>
              <w:pStyle w:val="Tabletext"/>
            </w:pPr>
            <w:r w:rsidRPr="00086D37">
              <w:t>To support ANKAAA’s arts worker extension program which provides training, mentoring, field trips and industry placements for Indigenous arts workers.</w:t>
            </w:r>
          </w:p>
        </w:tc>
        <w:tc>
          <w:tcPr>
            <w:tcW w:w="1997" w:type="dxa"/>
            <w:tcBorders>
              <w:top w:val="single" w:sz="4" w:space="0" w:color="auto"/>
              <w:left w:val="nil"/>
              <w:bottom w:val="single" w:sz="4" w:space="0" w:color="auto"/>
              <w:right w:val="nil"/>
            </w:tcBorders>
          </w:tcPr>
          <w:p w:rsidR="003D23A4" w:rsidRPr="00086D37" w:rsidRDefault="003D23A4" w:rsidP="003D23A4">
            <w:pPr>
              <w:pStyle w:val="Tabletextcentred"/>
            </w:pPr>
            <w:r w:rsidRPr="00086D37">
              <w:t>$55,000</w:t>
            </w:r>
          </w:p>
        </w:tc>
      </w:tr>
      <w:tr w:rsidR="003D23A4" w:rsidTr="003D23A4">
        <w:trPr>
          <w:cantSplit/>
        </w:trPr>
        <w:tc>
          <w:tcPr>
            <w:tcW w:w="1985" w:type="dxa"/>
            <w:tcBorders>
              <w:top w:val="single" w:sz="4" w:space="0" w:color="auto"/>
              <w:left w:val="nil"/>
              <w:bottom w:val="single" w:sz="4" w:space="0" w:color="auto"/>
              <w:right w:val="nil"/>
            </w:tcBorders>
          </w:tcPr>
          <w:p w:rsidR="003D23A4" w:rsidRPr="00086D37" w:rsidRDefault="003D23A4" w:rsidP="003D23A4">
            <w:pPr>
              <w:pStyle w:val="Tabletext"/>
            </w:pPr>
            <w:r w:rsidRPr="00086D37">
              <w:t>Alice Springs</w:t>
            </w:r>
          </w:p>
        </w:tc>
        <w:tc>
          <w:tcPr>
            <w:tcW w:w="2693" w:type="dxa"/>
            <w:tcBorders>
              <w:top w:val="single" w:sz="4" w:space="0" w:color="auto"/>
              <w:left w:val="nil"/>
              <w:bottom w:val="single" w:sz="4" w:space="0" w:color="auto"/>
              <w:right w:val="nil"/>
            </w:tcBorders>
          </w:tcPr>
          <w:p w:rsidR="003D23A4" w:rsidRPr="00086D37" w:rsidRDefault="003D23A4" w:rsidP="003D23A4">
            <w:pPr>
              <w:pStyle w:val="Tabletext"/>
            </w:pPr>
            <w:proofErr w:type="spellStart"/>
            <w:r w:rsidRPr="00086D37">
              <w:t>Desart</w:t>
            </w:r>
            <w:proofErr w:type="spellEnd"/>
            <w:r w:rsidRPr="00086D37">
              <w:t xml:space="preserve"> </w:t>
            </w:r>
            <w:proofErr w:type="spellStart"/>
            <w:r w:rsidRPr="00086D37">
              <w:t>Inc</w:t>
            </w:r>
            <w:proofErr w:type="spellEnd"/>
          </w:p>
        </w:tc>
        <w:tc>
          <w:tcPr>
            <w:tcW w:w="7938" w:type="dxa"/>
            <w:tcBorders>
              <w:top w:val="single" w:sz="4" w:space="0" w:color="auto"/>
              <w:left w:val="nil"/>
              <w:bottom w:val="single" w:sz="4" w:space="0" w:color="auto"/>
              <w:right w:val="nil"/>
            </w:tcBorders>
          </w:tcPr>
          <w:p w:rsidR="003D23A4" w:rsidRPr="00086D37" w:rsidRDefault="003D23A4" w:rsidP="003D23A4">
            <w:pPr>
              <w:pStyle w:val="Tabletext"/>
            </w:pPr>
            <w:r w:rsidRPr="00086D37">
              <w:t xml:space="preserve">To support </w:t>
            </w:r>
            <w:proofErr w:type="spellStart"/>
            <w:r w:rsidRPr="00086D37">
              <w:t>Desart’s</w:t>
            </w:r>
            <w:proofErr w:type="spellEnd"/>
            <w:r w:rsidRPr="00086D37">
              <w:t xml:space="preserve"> strong leadership program for art centre board members and staff, and Curatorial internships program for indigenous arts workers at Desert Mob in Alice Springs.</w:t>
            </w:r>
          </w:p>
        </w:tc>
        <w:tc>
          <w:tcPr>
            <w:tcW w:w="1997" w:type="dxa"/>
            <w:tcBorders>
              <w:top w:val="single" w:sz="4" w:space="0" w:color="auto"/>
              <w:left w:val="nil"/>
              <w:bottom w:val="single" w:sz="4" w:space="0" w:color="auto"/>
              <w:right w:val="nil"/>
            </w:tcBorders>
          </w:tcPr>
          <w:p w:rsidR="003D23A4" w:rsidRPr="00086D37" w:rsidRDefault="003D23A4" w:rsidP="003D23A4">
            <w:pPr>
              <w:pStyle w:val="Tabletextcentred"/>
            </w:pPr>
            <w:r w:rsidRPr="00086D37">
              <w:t>$70,000</w:t>
            </w:r>
          </w:p>
        </w:tc>
      </w:tr>
      <w:tr w:rsidR="003D23A4" w:rsidTr="003D23A4">
        <w:trPr>
          <w:cantSplit/>
        </w:trPr>
        <w:tc>
          <w:tcPr>
            <w:tcW w:w="1985" w:type="dxa"/>
            <w:tcBorders>
              <w:top w:val="single" w:sz="4" w:space="0" w:color="auto"/>
              <w:left w:val="nil"/>
              <w:bottom w:val="single" w:sz="4" w:space="0" w:color="auto"/>
              <w:right w:val="nil"/>
            </w:tcBorders>
          </w:tcPr>
          <w:p w:rsidR="003D23A4" w:rsidRPr="00086D37" w:rsidRDefault="003D23A4" w:rsidP="003D23A4">
            <w:pPr>
              <w:pStyle w:val="Tabletext"/>
            </w:pPr>
            <w:r w:rsidRPr="00086D37">
              <w:t>Melville Island</w:t>
            </w:r>
          </w:p>
        </w:tc>
        <w:tc>
          <w:tcPr>
            <w:tcW w:w="2693" w:type="dxa"/>
            <w:tcBorders>
              <w:top w:val="single" w:sz="4" w:space="0" w:color="auto"/>
              <w:left w:val="nil"/>
              <w:bottom w:val="single" w:sz="4" w:space="0" w:color="auto"/>
              <w:right w:val="nil"/>
            </w:tcBorders>
          </w:tcPr>
          <w:p w:rsidR="003D23A4" w:rsidRPr="00086D37" w:rsidRDefault="003D23A4" w:rsidP="003D23A4">
            <w:pPr>
              <w:pStyle w:val="Tabletext"/>
            </w:pPr>
            <w:proofErr w:type="spellStart"/>
            <w:r w:rsidRPr="00086D37">
              <w:t>Munupi</w:t>
            </w:r>
            <w:proofErr w:type="spellEnd"/>
            <w:r w:rsidRPr="00086D37">
              <w:t xml:space="preserve"> Arts and Crafts Association </w:t>
            </w:r>
            <w:proofErr w:type="spellStart"/>
            <w:r w:rsidRPr="00086D37">
              <w:t>Inc</w:t>
            </w:r>
            <w:proofErr w:type="spellEnd"/>
          </w:p>
        </w:tc>
        <w:tc>
          <w:tcPr>
            <w:tcW w:w="7938" w:type="dxa"/>
            <w:tcBorders>
              <w:top w:val="single" w:sz="4" w:space="0" w:color="auto"/>
              <w:left w:val="nil"/>
              <w:bottom w:val="single" w:sz="4" w:space="0" w:color="auto"/>
              <w:right w:val="nil"/>
            </w:tcBorders>
          </w:tcPr>
          <w:p w:rsidR="003D23A4" w:rsidRPr="00086D37" w:rsidRDefault="003D23A4" w:rsidP="003D23A4">
            <w:pPr>
              <w:pStyle w:val="Tabletext"/>
            </w:pPr>
            <w:r w:rsidRPr="00086D37">
              <w:t xml:space="preserve">To undertake urgent remedial repairs to make the art centre weatherproof, and to scope and cost longer-term capital improvements at </w:t>
            </w:r>
            <w:proofErr w:type="spellStart"/>
            <w:r w:rsidRPr="00086D37">
              <w:t>Munupi</w:t>
            </w:r>
            <w:proofErr w:type="spellEnd"/>
            <w:r w:rsidRPr="00086D37">
              <w:t xml:space="preserve"> Arts on Melville Island.</w:t>
            </w:r>
          </w:p>
        </w:tc>
        <w:tc>
          <w:tcPr>
            <w:tcW w:w="1997" w:type="dxa"/>
            <w:tcBorders>
              <w:top w:val="single" w:sz="4" w:space="0" w:color="auto"/>
              <w:left w:val="nil"/>
              <w:bottom w:val="single" w:sz="4" w:space="0" w:color="auto"/>
              <w:right w:val="nil"/>
            </w:tcBorders>
          </w:tcPr>
          <w:p w:rsidR="003D23A4" w:rsidRPr="00086D37" w:rsidRDefault="003D23A4" w:rsidP="003D23A4">
            <w:pPr>
              <w:pStyle w:val="Tabletextcentred"/>
            </w:pPr>
            <w:r w:rsidRPr="00086D37">
              <w:t>$300,000</w:t>
            </w:r>
          </w:p>
        </w:tc>
      </w:tr>
      <w:tr w:rsidR="003D23A4" w:rsidTr="00EB2945">
        <w:trPr>
          <w:cantSplit/>
        </w:trPr>
        <w:tc>
          <w:tcPr>
            <w:tcW w:w="1985" w:type="dxa"/>
            <w:tcBorders>
              <w:top w:val="single" w:sz="4" w:space="0" w:color="auto"/>
              <w:left w:val="nil"/>
              <w:bottom w:val="single" w:sz="12" w:space="0" w:color="auto"/>
              <w:right w:val="nil"/>
            </w:tcBorders>
          </w:tcPr>
          <w:p w:rsidR="003D23A4" w:rsidRPr="00086D37" w:rsidRDefault="003D23A4" w:rsidP="003D23A4">
            <w:pPr>
              <w:pStyle w:val="Tabletext"/>
            </w:pPr>
            <w:r w:rsidRPr="00086D37">
              <w:t>Darwin</w:t>
            </w:r>
          </w:p>
        </w:tc>
        <w:tc>
          <w:tcPr>
            <w:tcW w:w="2693" w:type="dxa"/>
            <w:tcBorders>
              <w:top w:val="single" w:sz="4" w:space="0" w:color="auto"/>
              <w:left w:val="nil"/>
              <w:bottom w:val="single" w:sz="12" w:space="0" w:color="auto"/>
              <w:right w:val="nil"/>
            </w:tcBorders>
          </w:tcPr>
          <w:p w:rsidR="003D23A4" w:rsidRPr="00086D37" w:rsidRDefault="003D23A4" w:rsidP="003D23A4">
            <w:pPr>
              <w:pStyle w:val="Tabletext"/>
            </w:pPr>
            <w:r w:rsidRPr="00086D37">
              <w:t>Darwin Aboriginal Art Fair Foundation Ltd</w:t>
            </w:r>
          </w:p>
        </w:tc>
        <w:tc>
          <w:tcPr>
            <w:tcW w:w="7938" w:type="dxa"/>
            <w:tcBorders>
              <w:top w:val="single" w:sz="4" w:space="0" w:color="auto"/>
              <w:left w:val="nil"/>
              <w:bottom w:val="single" w:sz="12" w:space="0" w:color="auto"/>
              <w:right w:val="nil"/>
            </w:tcBorders>
          </w:tcPr>
          <w:p w:rsidR="003D23A4" w:rsidRPr="00086D37" w:rsidRDefault="003D23A4" w:rsidP="003D23A4">
            <w:pPr>
              <w:pStyle w:val="Tabletext"/>
            </w:pPr>
            <w:r w:rsidRPr="00086D37">
              <w:t>To provide professional development and mentoring for up to 70 Indigenous art centre staff attending the Darwin Aboriginal Art Fair.</w:t>
            </w:r>
          </w:p>
        </w:tc>
        <w:tc>
          <w:tcPr>
            <w:tcW w:w="1997" w:type="dxa"/>
            <w:tcBorders>
              <w:top w:val="single" w:sz="4" w:space="0" w:color="auto"/>
              <w:left w:val="nil"/>
              <w:bottom w:val="single" w:sz="12" w:space="0" w:color="auto"/>
              <w:right w:val="nil"/>
            </w:tcBorders>
          </w:tcPr>
          <w:p w:rsidR="003D23A4" w:rsidRPr="00086D37" w:rsidRDefault="003D23A4" w:rsidP="003D23A4">
            <w:pPr>
              <w:pStyle w:val="Tabletextcentred"/>
            </w:pPr>
            <w:r w:rsidRPr="00086D37">
              <w:t>$55,000</w:t>
            </w:r>
          </w:p>
        </w:tc>
      </w:tr>
    </w:tbl>
    <w:p w:rsidR="00EB2945" w:rsidRPr="00C15AF6" w:rsidRDefault="00EB2945" w:rsidP="00EB2945"/>
    <w:p w:rsidR="00EB2945" w:rsidRPr="00B55747" w:rsidRDefault="003D23A4" w:rsidP="00EB2945">
      <w:pPr>
        <w:pStyle w:val="Heading3"/>
      </w:pPr>
      <w:r>
        <w:lastRenderedPageBreak/>
        <w:t>Western Australia</w:t>
      </w:r>
      <w:r w:rsidR="00EB2945">
        <w:t>—annual activities</w:t>
      </w:r>
    </w:p>
    <w:tbl>
      <w:tblPr>
        <w:tblStyle w:val="TableGrid"/>
        <w:tblW w:w="14613"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Western Australia—annual activities"/>
      </w:tblPr>
      <w:tblGrid>
        <w:gridCol w:w="1985"/>
        <w:gridCol w:w="2693"/>
        <w:gridCol w:w="7938"/>
        <w:gridCol w:w="1997"/>
      </w:tblGrid>
      <w:tr w:rsidR="00EB2945" w:rsidTr="0000583F">
        <w:trPr>
          <w:cantSplit/>
          <w:tblHeader/>
        </w:trPr>
        <w:tc>
          <w:tcPr>
            <w:tcW w:w="1985" w:type="dxa"/>
            <w:tcBorders>
              <w:top w:val="nil"/>
              <w:left w:val="nil"/>
              <w:bottom w:val="thickThinLargeGap" w:sz="24" w:space="0" w:color="auto"/>
              <w:right w:val="nil"/>
            </w:tcBorders>
            <w:shd w:val="clear" w:color="auto" w:fill="C2D69B"/>
          </w:tcPr>
          <w:p w:rsidR="00EB2945" w:rsidRDefault="00EB2945" w:rsidP="0000583F">
            <w:pPr>
              <w:pStyle w:val="Tablerowcolumnheading"/>
            </w:pPr>
            <w:r>
              <w:t>Activity location</w:t>
            </w:r>
          </w:p>
        </w:tc>
        <w:tc>
          <w:tcPr>
            <w:tcW w:w="2693" w:type="dxa"/>
            <w:tcBorders>
              <w:top w:val="nil"/>
              <w:left w:val="nil"/>
              <w:bottom w:val="thickThinLargeGap" w:sz="24" w:space="0" w:color="auto"/>
              <w:right w:val="nil"/>
            </w:tcBorders>
            <w:shd w:val="clear" w:color="auto" w:fill="C2D69B"/>
          </w:tcPr>
          <w:p w:rsidR="00EB2945" w:rsidRDefault="00EB2945" w:rsidP="0000583F">
            <w:pPr>
              <w:pStyle w:val="Tablerowcolumnheading"/>
            </w:pPr>
            <w:r>
              <w:t>Applicant</w:t>
            </w:r>
          </w:p>
        </w:tc>
        <w:tc>
          <w:tcPr>
            <w:tcW w:w="7938" w:type="dxa"/>
            <w:tcBorders>
              <w:top w:val="nil"/>
              <w:left w:val="nil"/>
              <w:bottom w:val="thickThinLargeGap" w:sz="24" w:space="0" w:color="auto"/>
              <w:right w:val="nil"/>
            </w:tcBorders>
            <w:shd w:val="clear" w:color="auto" w:fill="C2D69B"/>
          </w:tcPr>
          <w:p w:rsidR="00EB2945" w:rsidRDefault="00EB2945" w:rsidP="0000583F">
            <w:pPr>
              <w:pStyle w:val="Tablerowcolumnheading"/>
            </w:pPr>
            <w:r>
              <w:t>Activity description</w:t>
            </w:r>
          </w:p>
        </w:tc>
        <w:tc>
          <w:tcPr>
            <w:tcW w:w="1997" w:type="dxa"/>
            <w:tcBorders>
              <w:top w:val="nil"/>
              <w:left w:val="nil"/>
              <w:bottom w:val="thickThinLargeGap" w:sz="24" w:space="0" w:color="auto"/>
              <w:right w:val="nil"/>
            </w:tcBorders>
            <w:shd w:val="clear" w:color="auto" w:fill="C2D69B"/>
          </w:tcPr>
          <w:p w:rsidR="00EB2945" w:rsidRDefault="00EB2945" w:rsidP="0000583F">
            <w:pPr>
              <w:pStyle w:val="Tablerowcolumnheadingcentred"/>
            </w:pPr>
            <w:r>
              <w:t>Funding 2014–15</w:t>
            </w:r>
          </w:p>
        </w:tc>
      </w:tr>
      <w:tr w:rsidR="003D23A4" w:rsidTr="0000583F">
        <w:trPr>
          <w:cantSplit/>
        </w:trPr>
        <w:tc>
          <w:tcPr>
            <w:tcW w:w="1985" w:type="dxa"/>
            <w:tcBorders>
              <w:top w:val="thickThinLargeGap" w:sz="24" w:space="0" w:color="auto"/>
              <w:left w:val="nil"/>
              <w:bottom w:val="single" w:sz="4" w:space="0" w:color="auto"/>
              <w:right w:val="nil"/>
            </w:tcBorders>
          </w:tcPr>
          <w:p w:rsidR="003D23A4" w:rsidRPr="00086D37" w:rsidRDefault="003D23A4" w:rsidP="003D23A4">
            <w:pPr>
              <w:pStyle w:val="Tabletext"/>
            </w:pPr>
            <w:r w:rsidRPr="00086D37">
              <w:t>Newman</w:t>
            </w:r>
          </w:p>
        </w:tc>
        <w:tc>
          <w:tcPr>
            <w:tcW w:w="2693" w:type="dxa"/>
            <w:tcBorders>
              <w:top w:val="thickThinLargeGap" w:sz="24" w:space="0" w:color="auto"/>
              <w:left w:val="nil"/>
              <w:bottom w:val="single" w:sz="4" w:space="0" w:color="auto"/>
              <w:right w:val="nil"/>
            </w:tcBorders>
          </w:tcPr>
          <w:p w:rsidR="003D23A4" w:rsidRPr="00086D37" w:rsidRDefault="003D23A4" w:rsidP="003D23A4">
            <w:pPr>
              <w:pStyle w:val="Tabletext"/>
            </w:pPr>
            <w:r w:rsidRPr="00086D37">
              <w:t>Shire of East Pilbara (</w:t>
            </w:r>
            <w:proofErr w:type="spellStart"/>
            <w:r w:rsidRPr="00086D37">
              <w:t>Martumili</w:t>
            </w:r>
            <w:proofErr w:type="spellEnd"/>
            <w:r w:rsidRPr="00086D37">
              <w:t xml:space="preserve"> Artists)</w:t>
            </w:r>
          </w:p>
        </w:tc>
        <w:tc>
          <w:tcPr>
            <w:tcW w:w="7938" w:type="dxa"/>
            <w:tcBorders>
              <w:top w:val="thickThinLargeGap" w:sz="24" w:space="0" w:color="auto"/>
              <w:left w:val="nil"/>
              <w:bottom w:val="single" w:sz="4" w:space="0" w:color="auto"/>
              <w:right w:val="nil"/>
            </w:tcBorders>
          </w:tcPr>
          <w:p w:rsidR="003D23A4" w:rsidRPr="00086D37" w:rsidRDefault="003D23A4" w:rsidP="003D23A4">
            <w:pPr>
              <w:pStyle w:val="Tabletext"/>
            </w:pPr>
            <w:r w:rsidRPr="00086D37">
              <w:t xml:space="preserve">To deliver Indigenous visual arts services for </w:t>
            </w:r>
            <w:proofErr w:type="spellStart"/>
            <w:r w:rsidRPr="00086D37">
              <w:t>Martu</w:t>
            </w:r>
            <w:proofErr w:type="spellEnd"/>
            <w:r w:rsidRPr="00086D37">
              <w:t xml:space="preserve"> artists in the Shire of East Pilbara region.</w:t>
            </w:r>
          </w:p>
        </w:tc>
        <w:tc>
          <w:tcPr>
            <w:tcW w:w="1997" w:type="dxa"/>
            <w:tcBorders>
              <w:top w:val="thickThinLargeGap" w:sz="24" w:space="0" w:color="auto"/>
              <w:left w:val="nil"/>
              <w:bottom w:val="single" w:sz="4" w:space="0" w:color="auto"/>
              <w:right w:val="nil"/>
            </w:tcBorders>
          </w:tcPr>
          <w:p w:rsidR="003D23A4" w:rsidRPr="00086D37" w:rsidRDefault="003D23A4" w:rsidP="003D23A4">
            <w:pPr>
              <w:pStyle w:val="Tabletextcentred"/>
            </w:pPr>
            <w:r w:rsidRPr="00086D37">
              <w:t>$55,000</w:t>
            </w:r>
          </w:p>
        </w:tc>
      </w:tr>
      <w:tr w:rsidR="003D23A4" w:rsidTr="0000583F">
        <w:trPr>
          <w:cantSplit/>
        </w:trPr>
        <w:tc>
          <w:tcPr>
            <w:tcW w:w="1985" w:type="dxa"/>
            <w:tcBorders>
              <w:top w:val="single" w:sz="4" w:space="0" w:color="auto"/>
              <w:left w:val="nil"/>
              <w:bottom w:val="single" w:sz="12" w:space="0" w:color="auto"/>
              <w:right w:val="nil"/>
            </w:tcBorders>
          </w:tcPr>
          <w:p w:rsidR="003D23A4" w:rsidRPr="00086D37" w:rsidRDefault="003D23A4" w:rsidP="003D23A4">
            <w:pPr>
              <w:pStyle w:val="Tabletext"/>
            </w:pPr>
            <w:r w:rsidRPr="00086D37">
              <w:t>Perth</w:t>
            </w:r>
          </w:p>
        </w:tc>
        <w:tc>
          <w:tcPr>
            <w:tcW w:w="2693" w:type="dxa"/>
            <w:tcBorders>
              <w:top w:val="single" w:sz="4" w:space="0" w:color="auto"/>
              <w:left w:val="nil"/>
              <w:bottom w:val="single" w:sz="12" w:space="0" w:color="auto"/>
              <w:right w:val="nil"/>
            </w:tcBorders>
          </w:tcPr>
          <w:p w:rsidR="003D23A4" w:rsidRPr="00086D37" w:rsidRDefault="003D23A4" w:rsidP="003D23A4">
            <w:pPr>
              <w:pStyle w:val="Tabletext"/>
            </w:pPr>
            <w:r w:rsidRPr="00086D37">
              <w:t>Department of Culture and the Arts, Government of Western Australia</w:t>
            </w:r>
          </w:p>
        </w:tc>
        <w:tc>
          <w:tcPr>
            <w:tcW w:w="7938" w:type="dxa"/>
            <w:tcBorders>
              <w:top w:val="single" w:sz="4" w:space="0" w:color="auto"/>
              <w:left w:val="nil"/>
              <w:bottom w:val="single" w:sz="12" w:space="0" w:color="auto"/>
              <w:right w:val="nil"/>
            </w:tcBorders>
          </w:tcPr>
          <w:p w:rsidR="003D23A4" w:rsidRPr="00086D37" w:rsidRDefault="003D23A4" w:rsidP="003D23A4">
            <w:pPr>
              <w:pStyle w:val="Tabletext"/>
            </w:pPr>
            <w:r w:rsidRPr="00086D37">
              <w:t>To provide professional development opportunities for Indigenous artists and arts workers throughout Western Australia.</w:t>
            </w:r>
          </w:p>
        </w:tc>
        <w:tc>
          <w:tcPr>
            <w:tcW w:w="1997" w:type="dxa"/>
            <w:tcBorders>
              <w:top w:val="single" w:sz="4" w:space="0" w:color="auto"/>
              <w:left w:val="nil"/>
              <w:bottom w:val="single" w:sz="12" w:space="0" w:color="auto"/>
              <w:right w:val="nil"/>
            </w:tcBorders>
          </w:tcPr>
          <w:p w:rsidR="003D23A4" w:rsidRPr="00086D37" w:rsidRDefault="003D23A4" w:rsidP="003D23A4">
            <w:pPr>
              <w:pStyle w:val="Tabletextcentred"/>
            </w:pPr>
            <w:r w:rsidRPr="00086D37">
              <w:t>$94,056</w:t>
            </w:r>
          </w:p>
        </w:tc>
      </w:tr>
    </w:tbl>
    <w:p w:rsidR="00EB2945" w:rsidRPr="00C15AF6" w:rsidRDefault="00EB2945" w:rsidP="00EB2945"/>
    <w:p w:rsidR="00EB2945" w:rsidRPr="00B55747" w:rsidRDefault="003D23A4" w:rsidP="00EB2945">
      <w:pPr>
        <w:pStyle w:val="Heading3"/>
      </w:pPr>
      <w:r>
        <w:t>South Australia</w:t>
      </w:r>
      <w:r w:rsidR="00EB2945">
        <w:t>—annual activities</w:t>
      </w:r>
    </w:p>
    <w:tbl>
      <w:tblPr>
        <w:tblStyle w:val="TableGrid"/>
        <w:tblW w:w="14613"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South Australia—annual activities"/>
      </w:tblPr>
      <w:tblGrid>
        <w:gridCol w:w="1985"/>
        <w:gridCol w:w="2693"/>
        <w:gridCol w:w="7938"/>
        <w:gridCol w:w="1997"/>
      </w:tblGrid>
      <w:tr w:rsidR="00EB2945" w:rsidTr="0000583F">
        <w:trPr>
          <w:cantSplit/>
          <w:tblHeader/>
        </w:trPr>
        <w:tc>
          <w:tcPr>
            <w:tcW w:w="1985" w:type="dxa"/>
            <w:tcBorders>
              <w:top w:val="nil"/>
              <w:left w:val="nil"/>
              <w:bottom w:val="thickThinLargeGap" w:sz="24" w:space="0" w:color="auto"/>
              <w:right w:val="nil"/>
            </w:tcBorders>
            <w:shd w:val="clear" w:color="auto" w:fill="C2D69B"/>
          </w:tcPr>
          <w:p w:rsidR="00EB2945" w:rsidRDefault="00EB2945" w:rsidP="0000583F">
            <w:pPr>
              <w:pStyle w:val="Tablerowcolumnheading"/>
            </w:pPr>
            <w:r>
              <w:t>Activity location</w:t>
            </w:r>
          </w:p>
        </w:tc>
        <w:tc>
          <w:tcPr>
            <w:tcW w:w="2693" w:type="dxa"/>
            <w:tcBorders>
              <w:top w:val="nil"/>
              <w:left w:val="nil"/>
              <w:bottom w:val="thickThinLargeGap" w:sz="24" w:space="0" w:color="auto"/>
              <w:right w:val="nil"/>
            </w:tcBorders>
            <w:shd w:val="clear" w:color="auto" w:fill="C2D69B"/>
          </w:tcPr>
          <w:p w:rsidR="00EB2945" w:rsidRDefault="00EB2945" w:rsidP="0000583F">
            <w:pPr>
              <w:pStyle w:val="Tablerowcolumnheading"/>
            </w:pPr>
            <w:r>
              <w:t>Applicant</w:t>
            </w:r>
          </w:p>
        </w:tc>
        <w:tc>
          <w:tcPr>
            <w:tcW w:w="7938" w:type="dxa"/>
            <w:tcBorders>
              <w:top w:val="nil"/>
              <w:left w:val="nil"/>
              <w:bottom w:val="thickThinLargeGap" w:sz="24" w:space="0" w:color="auto"/>
              <w:right w:val="nil"/>
            </w:tcBorders>
            <w:shd w:val="clear" w:color="auto" w:fill="C2D69B"/>
          </w:tcPr>
          <w:p w:rsidR="00EB2945" w:rsidRDefault="00EB2945" w:rsidP="0000583F">
            <w:pPr>
              <w:pStyle w:val="Tablerowcolumnheading"/>
            </w:pPr>
            <w:r>
              <w:t>Activity description</w:t>
            </w:r>
          </w:p>
        </w:tc>
        <w:tc>
          <w:tcPr>
            <w:tcW w:w="1997" w:type="dxa"/>
            <w:tcBorders>
              <w:top w:val="nil"/>
              <w:left w:val="nil"/>
              <w:bottom w:val="thickThinLargeGap" w:sz="24" w:space="0" w:color="auto"/>
              <w:right w:val="nil"/>
            </w:tcBorders>
            <w:shd w:val="clear" w:color="auto" w:fill="C2D69B"/>
          </w:tcPr>
          <w:p w:rsidR="00EB2945" w:rsidRDefault="00EB2945" w:rsidP="0000583F">
            <w:pPr>
              <w:pStyle w:val="Tablerowcolumnheadingcentred"/>
            </w:pPr>
            <w:r>
              <w:t>Funding 2014–15</w:t>
            </w:r>
          </w:p>
        </w:tc>
      </w:tr>
      <w:tr w:rsidR="003D23A4" w:rsidTr="0000583F">
        <w:trPr>
          <w:cantSplit/>
        </w:trPr>
        <w:tc>
          <w:tcPr>
            <w:tcW w:w="1985" w:type="dxa"/>
            <w:tcBorders>
              <w:top w:val="single" w:sz="4" w:space="0" w:color="auto"/>
              <w:left w:val="nil"/>
              <w:bottom w:val="single" w:sz="12" w:space="0" w:color="auto"/>
              <w:right w:val="nil"/>
            </w:tcBorders>
          </w:tcPr>
          <w:p w:rsidR="003D23A4" w:rsidRPr="00086D37" w:rsidRDefault="003D23A4" w:rsidP="003D23A4">
            <w:pPr>
              <w:pStyle w:val="Tabletext"/>
            </w:pPr>
            <w:r w:rsidRPr="00086D37">
              <w:t>Adelaide</w:t>
            </w:r>
          </w:p>
        </w:tc>
        <w:tc>
          <w:tcPr>
            <w:tcW w:w="2693" w:type="dxa"/>
            <w:tcBorders>
              <w:top w:val="single" w:sz="4" w:space="0" w:color="auto"/>
              <w:left w:val="nil"/>
              <w:bottom w:val="single" w:sz="12" w:space="0" w:color="auto"/>
              <w:right w:val="nil"/>
            </w:tcBorders>
          </w:tcPr>
          <w:p w:rsidR="003D23A4" w:rsidRPr="00086D37" w:rsidRDefault="003D23A4" w:rsidP="003D23A4">
            <w:pPr>
              <w:pStyle w:val="Tabletext"/>
            </w:pPr>
            <w:proofErr w:type="spellStart"/>
            <w:r w:rsidRPr="00086D37">
              <w:t>Ananguku</w:t>
            </w:r>
            <w:proofErr w:type="spellEnd"/>
            <w:r w:rsidRPr="00086D37">
              <w:t xml:space="preserve"> Arts and Cultural Aboriginal Corporation</w:t>
            </w:r>
          </w:p>
        </w:tc>
        <w:tc>
          <w:tcPr>
            <w:tcW w:w="7938" w:type="dxa"/>
            <w:tcBorders>
              <w:top w:val="single" w:sz="4" w:space="0" w:color="auto"/>
              <w:left w:val="nil"/>
              <w:bottom w:val="single" w:sz="12" w:space="0" w:color="auto"/>
              <w:right w:val="nil"/>
            </w:tcBorders>
          </w:tcPr>
          <w:p w:rsidR="003D23A4" w:rsidRPr="00086D37" w:rsidRDefault="003D23A4" w:rsidP="003D23A4">
            <w:pPr>
              <w:pStyle w:val="Tabletext"/>
            </w:pPr>
            <w:r w:rsidRPr="00086D37">
              <w:t>To engage a project officer to work directly with Aboriginal art centres in South Australia.</w:t>
            </w:r>
          </w:p>
        </w:tc>
        <w:tc>
          <w:tcPr>
            <w:tcW w:w="1997" w:type="dxa"/>
            <w:tcBorders>
              <w:top w:val="single" w:sz="4" w:space="0" w:color="auto"/>
              <w:left w:val="nil"/>
              <w:bottom w:val="single" w:sz="12" w:space="0" w:color="auto"/>
              <w:right w:val="nil"/>
            </w:tcBorders>
          </w:tcPr>
          <w:p w:rsidR="003D23A4" w:rsidRPr="00086D37" w:rsidRDefault="003D23A4" w:rsidP="003D23A4">
            <w:pPr>
              <w:pStyle w:val="Tabletextcentred"/>
            </w:pPr>
            <w:r w:rsidRPr="00086D37">
              <w:t>$50,000</w:t>
            </w:r>
          </w:p>
        </w:tc>
      </w:tr>
    </w:tbl>
    <w:p w:rsidR="00EB2945" w:rsidRDefault="00EB2945" w:rsidP="00EB2945"/>
    <w:p w:rsidR="003D23A4" w:rsidRPr="00B55747" w:rsidRDefault="003D23A4" w:rsidP="003D23A4">
      <w:pPr>
        <w:pStyle w:val="Heading3"/>
      </w:pPr>
      <w:r>
        <w:t>Queensland—annual activities</w:t>
      </w:r>
    </w:p>
    <w:tbl>
      <w:tblPr>
        <w:tblStyle w:val="TableGrid"/>
        <w:tblW w:w="14613"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Queensland—annual activities"/>
      </w:tblPr>
      <w:tblGrid>
        <w:gridCol w:w="1985"/>
        <w:gridCol w:w="2693"/>
        <w:gridCol w:w="7938"/>
        <w:gridCol w:w="1997"/>
      </w:tblGrid>
      <w:tr w:rsidR="003D23A4" w:rsidTr="0000583F">
        <w:trPr>
          <w:cantSplit/>
          <w:tblHeader/>
        </w:trPr>
        <w:tc>
          <w:tcPr>
            <w:tcW w:w="1985" w:type="dxa"/>
            <w:tcBorders>
              <w:top w:val="nil"/>
              <w:left w:val="nil"/>
              <w:bottom w:val="thickThinLargeGap" w:sz="24" w:space="0" w:color="auto"/>
              <w:right w:val="nil"/>
            </w:tcBorders>
            <w:shd w:val="clear" w:color="auto" w:fill="C2D69B"/>
          </w:tcPr>
          <w:p w:rsidR="003D23A4" w:rsidRDefault="003D23A4" w:rsidP="0000583F">
            <w:pPr>
              <w:pStyle w:val="Tablerowcolumnheading"/>
            </w:pPr>
            <w:r>
              <w:t>Activity location</w:t>
            </w:r>
          </w:p>
        </w:tc>
        <w:tc>
          <w:tcPr>
            <w:tcW w:w="2693" w:type="dxa"/>
            <w:tcBorders>
              <w:top w:val="nil"/>
              <w:left w:val="nil"/>
              <w:bottom w:val="thickThinLargeGap" w:sz="24" w:space="0" w:color="auto"/>
              <w:right w:val="nil"/>
            </w:tcBorders>
            <w:shd w:val="clear" w:color="auto" w:fill="C2D69B"/>
          </w:tcPr>
          <w:p w:rsidR="003D23A4" w:rsidRDefault="003D23A4" w:rsidP="0000583F">
            <w:pPr>
              <w:pStyle w:val="Tablerowcolumnheading"/>
            </w:pPr>
            <w:r>
              <w:t>Applicant</w:t>
            </w:r>
          </w:p>
        </w:tc>
        <w:tc>
          <w:tcPr>
            <w:tcW w:w="7938" w:type="dxa"/>
            <w:tcBorders>
              <w:top w:val="nil"/>
              <w:left w:val="nil"/>
              <w:bottom w:val="thickThinLargeGap" w:sz="24" w:space="0" w:color="auto"/>
              <w:right w:val="nil"/>
            </w:tcBorders>
            <w:shd w:val="clear" w:color="auto" w:fill="C2D69B"/>
          </w:tcPr>
          <w:p w:rsidR="003D23A4" w:rsidRDefault="003D23A4" w:rsidP="0000583F">
            <w:pPr>
              <w:pStyle w:val="Tablerowcolumnheading"/>
            </w:pPr>
            <w:r>
              <w:t>Activity description</w:t>
            </w:r>
          </w:p>
        </w:tc>
        <w:tc>
          <w:tcPr>
            <w:tcW w:w="1997" w:type="dxa"/>
            <w:tcBorders>
              <w:top w:val="nil"/>
              <w:left w:val="nil"/>
              <w:bottom w:val="thickThinLargeGap" w:sz="24" w:space="0" w:color="auto"/>
              <w:right w:val="nil"/>
            </w:tcBorders>
            <w:shd w:val="clear" w:color="auto" w:fill="C2D69B"/>
          </w:tcPr>
          <w:p w:rsidR="003D23A4" w:rsidRDefault="003D23A4" w:rsidP="0000583F">
            <w:pPr>
              <w:pStyle w:val="Tablerowcolumnheadingcentred"/>
            </w:pPr>
            <w:r>
              <w:t>Funding 2014–15</w:t>
            </w:r>
          </w:p>
        </w:tc>
      </w:tr>
      <w:tr w:rsidR="003D23A4" w:rsidTr="0000583F">
        <w:trPr>
          <w:cantSplit/>
        </w:trPr>
        <w:tc>
          <w:tcPr>
            <w:tcW w:w="1985" w:type="dxa"/>
            <w:tcBorders>
              <w:top w:val="single" w:sz="4" w:space="0" w:color="auto"/>
              <w:left w:val="nil"/>
              <w:bottom w:val="single" w:sz="12" w:space="0" w:color="auto"/>
              <w:right w:val="nil"/>
            </w:tcBorders>
          </w:tcPr>
          <w:p w:rsidR="003D23A4" w:rsidRPr="00086D37" w:rsidRDefault="003D23A4" w:rsidP="003D23A4">
            <w:pPr>
              <w:pStyle w:val="Tabletext"/>
            </w:pPr>
            <w:r w:rsidRPr="00086D37">
              <w:t>Cairns</w:t>
            </w:r>
          </w:p>
        </w:tc>
        <w:tc>
          <w:tcPr>
            <w:tcW w:w="2693" w:type="dxa"/>
            <w:tcBorders>
              <w:top w:val="single" w:sz="4" w:space="0" w:color="auto"/>
              <w:left w:val="nil"/>
              <w:bottom w:val="single" w:sz="12" w:space="0" w:color="auto"/>
              <w:right w:val="nil"/>
            </w:tcBorders>
          </w:tcPr>
          <w:p w:rsidR="003D23A4" w:rsidRPr="00086D37" w:rsidRDefault="003D23A4" w:rsidP="003D23A4">
            <w:pPr>
              <w:pStyle w:val="Tabletext"/>
            </w:pPr>
            <w:r w:rsidRPr="00086D37">
              <w:t xml:space="preserve">Indigenous Art Centre Alliance </w:t>
            </w:r>
            <w:proofErr w:type="spellStart"/>
            <w:r w:rsidRPr="00086D37">
              <w:t>Inc</w:t>
            </w:r>
            <w:proofErr w:type="spellEnd"/>
          </w:p>
        </w:tc>
        <w:tc>
          <w:tcPr>
            <w:tcW w:w="7938" w:type="dxa"/>
            <w:tcBorders>
              <w:top w:val="single" w:sz="4" w:space="0" w:color="auto"/>
              <w:left w:val="nil"/>
              <w:bottom w:val="single" w:sz="12" w:space="0" w:color="auto"/>
              <w:right w:val="nil"/>
            </w:tcBorders>
          </w:tcPr>
          <w:p w:rsidR="003D23A4" w:rsidRPr="00086D37" w:rsidRDefault="003D23A4" w:rsidP="003D23A4">
            <w:pPr>
              <w:pStyle w:val="Tabletext"/>
            </w:pPr>
            <w:r w:rsidRPr="00086D37">
              <w:t>To provide professional visual arts skills development opportunities for artists in Far North Queensland and Torres Strait Island art centres.</w:t>
            </w:r>
          </w:p>
        </w:tc>
        <w:tc>
          <w:tcPr>
            <w:tcW w:w="1997" w:type="dxa"/>
            <w:tcBorders>
              <w:top w:val="single" w:sz="4" w:space="0" w:color="auto"/>
              <w:left w:val="nil"/>
              <w:bottom w:val="single" w:sz="12" w:space="0" w:color="auto"/>
              <w:right w:val="nil"/>
            </w:tcBorders>
          </w:tcPr>
          <w:p w:rsidR="003D23A4" w:rsidRPr="00086D37" w:rsidRDefault="003D23A4" w:rsidP="003D23A4">
            <w:pPr>
              <w:pStyle w:val="Tabletextcentred"/>
            </w:pPr>
            <w:r w:rsidRPr="00086D37">
              <w:t>$50,000</w:t>
            </w:r>
          </w:p>
        </w:tc>
      </w:tr>
    </w:tbl>
    <w:p w:rsidR="003D23A4" w:rsidRDefault="003D23A4" w:rsidP="003D23A4"/>
    <w:sectPr w:rsidR="003D23A4" w:rsidSect="007934E8">
      <w:footerReference w:type="default" r:id="rId11"/>
      <w:footerReference w:type="first" r:id="rId12"/>
      <w:type w:val="continuous"/>
      <w:pgSz w:w="16838" w:h="11906" w:orient="landscape"/>
      <w:pgMar w:top="1440" w:right="1418" w:bottom="1274"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727" w:rsidRDefault="00C31727" w:rsidP="002117E6">
      <w:pPr>
        <w:spacing w:after="0"/>
      </w:pPr>
      <w:r>
        <w:separator/>
      </w:r>
    </w:p>
  </w:endnote>
  <w:endnote w:type="continuationSeparator" w:id="0">
    <w:p w:rsidR="00C31727" w:rsidRDefault="00C31727"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2FC1" w:rsidRPr="002117E6" w:rsidRDefault="00E02FC1" w:rsidP="00E02FC1">
    <w:pPr>
      <w:pStyle w:val="Footer"/>
      <w:tabs>
        <w:tab w:val="clear" w:pos="4513"/>
        <w:tab w:val="clear" w:pos="9026"/>
        <w:tab w:val="center" w:pos="7088"/>
        <w:tab w:val="right" w:pos="13892"/>
      </w:tabs>
      <w:ind w:right="-46"/>
      <w:rPr>
        <w:rStyle w:val="Hyperlink"/>
        <w:color w:val="auto"/>
        <w:sz w:val="18"/>
        <w:szCs w:val="18"/>
      </w:rPr>
    </w:pPr>
    <w:r w:rsidRPr="001D7905">
      <w:rPr>
        <w:color w:val="001C40" w:themeColor="text2"/>
        <w:sz w:val="18"/>
        <w:szCs w:val="18"/>
      </w:rPr>
      <w:tab/>
    </w:r>
    <w:sdt>
      <w:sdtPr>
        <w:rPr>
          <w:color w:val="001C40" w:themeColor="text2"/>
          <w:sz w:val="18"/>
          <w:szCs w:val="18"/>
        </w:rPr>
        <w:id w:val="1985430236"/>
        <w:docPartObj>
          <w:docPartGallery w:val="Page Numbers (Top of Page)"/>
          <w:docPartUnique/>
        </w:docPartObj>
      </w:sdtPr>
      <w:sdtEndPr/>
      <w:sdtContent>
        <w:r w:rsidRPr="001D7905">
          <w:rPr>
            <w:color w:val="001C40" w:themeColor="text2"/>
            <w:sz w:val="18"/>
            <w:szCs w:val="18"/>
          </w:rPr>
          <w:t xml:space="preserve">Page </w:t>
        </w:r>
        <w:r w:rsidRPr="001D7905">
          <w:rPr>
            <w:bCs/>
            <w:color w:val="001C40" w:themeColor="text2"/>
            <w:sz w:val="18"/>
            <w:szCs w:val="18"/>
          </w:rPr>
          <w:fldChar w:fldCharType="begin"/>
        </w:r>
        <w:r w:rsidRPr="001D7905">
          <w:rPr>
            <w:bCs/>
            <w:color w:val="001C40" w:themeColor="text2"/>
            <w:sz w:val="18"/>
            <w:szCs w:val="18"/>
          </w:rPr>
          <w:instrText xml:space="preserve"> PAGE </w:instrText>
        </w:r>
        <w:r w:rsidRPr="001D7905">
          <w:rPr>
            <w:bCs/>
            <w:color w:val="001C40" w:themeColor="text2"/>
            <w:sz w:val="18"/>
            <w:szCs w:val="18"/>
          </w:rPr>
          <w:fldChar w:fldCharType="separate"/>
        </w:r>
        <w:r w:rsidR="0083382F">
          <w:rPr>
            <w:bCs/>
            <w:noProof/>
            <w:color w:val="001C40" w:themeColor="text2"/>
            <w:sz w:val="18"/>
            <w:szCs w:val="18"/>
          </w:rPr>
          <w:t>2</w:t>
        </w:r>
        <w:r w:rsidRPr="001D7905">
          <w:rPr>
            <w:bCs/>
            <w:color w:val="001C40" w:themeColor="text2"/>
            <w:sz w:val="18"/>
            <w:szCs w:val="18"/>
          </w:rPr>
          <w:fldChar w:fldCharType="end"/>
        </w:r>
        <w:r w:rsidRPr="001D7905">
          <w:rPr>
            <w:color w:val="001C40" w:themeColor="text2"/>
            <w:sz w:val="18"/>
            <w:szCs w:val="18"/>
          </w:rPr>
          <w:t xml:space="preserve"> of </w:t>
        </w:r>
        <w:r w:rsidRPr="001D7905">
          <w:rPr>
            <w:bCs/>
            <w:color w:val="001C40" w:themeColor="text2"/>
            <w:sz w:val="18"/>
            <w:szCs w:val="18"/>
          </w:rPr>
          <w:fldChar w:fldCharType="begin"/>
        </w:r>
        <w:r w:rsidRPr="001D7905">
          <w:rPr>
            <w:bCs/>
            <w:color w:val="001C40" w:themeColor="text2"/>
            <w:sz w:val="18"/>
            <w:szCs w:val="18"/>
          </w:rPr>
          <w:instrText xml:space="preserve"> NUMPAGES  </w:instrText>
        </w:r>
        <w:r w:rsidRPr="001D7905">
          <w:rPr>
            <w:bCs/>
            <w:color w:val="001C40" w:themeColor="text2"/>
            <w:sz w:val="18"/>
            <w:szCs w:val="18"/>
          </w:rPr>
          <w:fldChar w:fldCharType="separate"/>
        </w:r>
        <w:r w:rsidR="0083382F">
          <w:rPr>
            <w:bCs/>
            <w:noProof/>
            <w:color w:val="001C40" w:themeColor="text2"/>
            <w:sz w:val="18"/>
            <w:szCs w:val="18"/>
          </w:rPr>
          <w:t>2</w:t>
        </w:r>
        <w:r w:rsidRPr="001D7905">
          <w:rPr>
            <w:bCs/>
            <w:color w:val="001C40" w:themeColor="text2"/>
            <w:sz w:val="18"/>
            <w:szCs w:val="18"/>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4E8" w:rsidRPr="002117E6" w:rsidRDefault="007934E8" w:rsidP="00EB2945">
    <w:pPr>
      <w:pStyle w:val="Footer"/>
      <w:tabs>
        <w:tab w:val="clear" w:pos="4513"/>
        <w:tab w:val="clear" w:pos="9026"/>
        <w:tab w:val="center" w:pos="7088"/>
        <w:tab w:val="right" w:pos="13892"/>
      </w:tabs>
      <w:ind w:right="-46"/>
      <w:rPr>
        <w:rStyle w:val="Hyperlink"/>
        <w:color w:val="auto"/>
        <w:sz w:val="18"/>
        <w:szCs w:val="18"/>
      </w:rPr>
    </w:pPr>
    <w:r w:rsidRPr="001D7905">
      <w:rPr>
        <w:color w:val="001C40" w:themeColor="text2"/>
        <w:sz w:val="18"/>
        <w:szCs w:val="18"/>
      </w:rPr>
      <w:tab/>
    </w:r>
    <w:sdt>
      <w:sdtPr>
        <w:rPr>
          <w:color w:val="001C40" w:themeColor="text2"/>
          <w:sz w:val="18"/>
          <w:szCs w:val="18"/>
        </w:rPr>
        <w:id w:val="-401056903"/>
        <w:docPartObj>
          <w:docPartGallery w:val="Page Numbers (Top of Page)"/>
          <w:docPartUnique/>
        </w:docPartObj>
      </w:sdtPr>
      <w:sdtEndPr/>
      <w:sdtContent>
        <w:r w:rsidRPr="001D7905">
          <w:rPr>
            <w:color w:val="001C40" w:themeColor="text2"/>
            <w:sz w:val="18"/>
            <w:szCs w:val="18"/>
          </w:rPr>
          <w:t xml:space="preserve">Page </w:t>
        </w:r>
        <w:r w:rsidRPr="001D7905">
          <w:rPr>
            <w:bCs/>
            <w:color w:val="001C40" w:themeColor="text2"/>
            <w:sz w:val="18"/>
            <w:szCs w:val="18"/>
          </w:rPr>
          <w:fldChar w:fldCharType="begin"/>
        </w:r>
        <w:r w:rsidRPr="001D7905">
          <w:rPr>
            <w:bCs/>
            <w:color w:val="001C40" w:themeColor="text2"/>
            <w:sz w:val="18"/>
            <w:szCs w:val="18"/>
          </w:rPr>
          <w:instrText xml:space="preserve"> PAGE </w:instrText>
        </w:r>
        <w:r w:rsidRPr="001D7905">
          <w:rPr>
            <w:bCs/>
            <w:color w:val="001C40" w:themeColor="text2"/>
            <w:sz w:val="18"/>
            <w:szCs w:val="18"/>
          </w:rPr>
          <w:fldChar w:fldCharType="separate"/>
        </w:r>
        <w:r w:rsidR="0083382F">
          <w:rPr>
            <w:bCs/>
            <w:noProof/>
            <w:color w:val="001C40" w:themeColor="text2"/>
            <w:sz w:val="18"/>
            <w:szCs w:val="18"/>
          </w:rPr>
          <w:t>1</w:t>
        </w:r>
        <w:r w:rsidRPr="001D7905">
          <w:rPr>
            <w:bCs/>
            <w:color w:val="001C40" w:themeColor="text2"/>
            <w:sz w:val="18"/>
            <w:szCs w:val="18"/>
          </w:rPr>
          <w:fldChar w:fldCharType="end"/>
        </w:r>
        <w:r w:rsidRPr="001D7905">
          <w:rPr>
            <w:color w:val="001C40" w:themeColor="text2"/>
            <w:sz w:val="18"/>
            <w:szCs w:val="18"/>
          </w:rPr>
          <w:t xml:space="preserve"> of </w:t>
        </w:r>
        <w:r w:rsidRPr="001D7905">
          <w:rPr>
            <w:bCs/>
            <w:color w:val="001C40" w:themeColor="text2"/>
            <w:sz w:val="18"/>
            <w:szCs w:val="18"/>
          </w:rPr>
          <w:fldChar w:fldCharType="begin"/>
        </w:r>
        <w:r w:rsidRPr="001D7905">
          <w:rPr>
            <w:bCs/>
            <w:color w:val="001C40" w:themeColor="text2"/>
            <w:sz w:val="18"/>
            <w:szCs w:val="18"/>
          </w:rPr>
          <w:instrText xml:space="preserve"> NUMPAGES  </w:instrText>
        </w:r>
        <w:r w:rsidRPr="001D7905">
          <w:rPr>
            <w:bCs/>
            <w:color w:val="001C40" w:themeColor="text2"/>
            <w:sz w:val="18"/>
            <w:szCs w:val="18"/>
          </w:rPr>
          <w:fldChar w:fldCharType="separate"/>
        </w:r>
        <w:r w:rsidR="0083382F">
          <w:rPr>
            <w:bCs/>
            <w:noProof/>
            <w:color w:val="001C40" w:themeColor="text2"/>
            <w:sz w:val="18"/>
            <w:szCs w:val="18"/>
          </w:rPr>
          <w:t>2</w:t>
        </w:r>
        <w:r w:rsidRPr="001D7905">
          <w:rPr>
            <w:bCs/>
            <w:color w:val="001C40" w:themeColor="text2"/>
            <w:sz w:val="18"/>
            <w:szCs w:val="18"/>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727" w:rsidRDefault="00C31727" w:rsidP="002117E6">
      <w:pPr>
        <w:spacing w:after="0"/>
      </w:pPr>
      <w:r>
        <w:separator/>
      </w:r>
    </w:p>
  </w:footnote>
  <w:footnote w:type="continuationSeparator" w:id="0">
    <w:p w:rsidR="00C31727" w:rsidRDefault="00C31727" w:rsidP="002117E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21C15"/>
    <w:multiLevelType w:val="hybridMultilevel"/>
    <w:tmpl w:val="1FE4B7E6"/>
    <w:lvl w:ilvl="0" w:tplc="43103D04">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4EBAA0C4"/>
    <w:lvl w:ilvl="0" w:tplc="F5A0A844">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BD77185"/>
    <w:multiLevelType w:val="hybridMultilevel"/>
    <w:tmpl w:val="A8F2D46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727"/>
    <w:rsid w:val="00005D53"/>
    <w:rsid w:val="000D2A74"/>
    <w:rsid w:val="001471EA"/>
    <w:rsid w:val="001472FC"/>
    <w:rsid w:val="0019701B"/>
    <w:rsid w:val="001C77C0"/>
    <w:rsid w:val="001D7905"/>
    <w:rsid w:val="002117E6"/>
    <w:rsid w:val="00293DD6"/>
    <w:rsid w:val="002C75DE"/>
    <w:rsid w:val="00335334"/>
    <w:rsid w:val="00381364"/>
    <w:rsid w:val="003D23A4"/>
    <w:rsid w:val="003F495D"/>
    <w:rsid w:val="00450D6E"/>
    <w:rsid w:val="00470B79"/>
    <w:rsid w:val="00503B3F"/>
    <w:rsid w:val="00544465"/>
    <w:rsid w:val="00565B47"/>
    <w:rsid w:val="00571D01"/>
    <w:rsid w:val="00575A5A"/>
    <w:rsid w:val="0059002A"/>
    <w:rsid w:val="005932D0"/>
    <w:rsid w:val="005C74B7"/>
    <w:rsid w:val="0061446D"/>
    <w:rsid w:val="0064138E"/>
    <w:rsid w:val="00652B84"/>
    <w:rsid w:val="00654260"/>
    <w:rsid w:val="006A2F0E"/>
    <w:rsid w:val="00753BB6"/>
    <w:rsid w:val="00771EF1"/>
    <w:rsid w:val="007934E8"/>
    <w:rsid w:val="007E0AE5"/>
    <w:rsid w:val="0083382F"/>
    <w:rsid w:val="008A4B1F"/>
    <w:rsid w:val="008F776C"/>
    <w:rsid w:val="009313D2"/>
    <w:rsid w:val="0094124E"/>
    <w:rsid w:val="009B6B47"/>
    <w:rsid w:val="009B7EF0"/>
    <w:rsid w:val="009E12E4"/>
    <w:rsid w:val="00A241FE"/>
    <w:rsid w:val="00AE4F02"/>
    <w:rsid w:val="00B049A4"/>
    <w:rsid w:val="00B55747"/>
    <w:rsid w:val="00BC329E"/>
    <w:rsid w:val="00BE7E66"/>
    <w:rsid w:val="00C31727"/>
    <w:rsid w:val="00C8567C"/>
    <w:rsid w:val="00D06CBF"/>
    <w:rsid w:val="00D85692"/>
    <w:rsid w:val="00DD5D52"/>
    <w:rsid w:val="00DF0A0C"/>
    <w:rsid w:val="00E02FC1"/>
    <w:rsid w:val="00E31BD3"/>
    <w:rsid w:val="00E6155F"/>
    <w:rsid w:val="00EA6D34"/>
    <w:rsid w:val="00EB2945"/>
    <w:rsid w:val="00F408EE"/>
    <w:rsid w:val="00F7051B"/>
    <w:rsid w:val="00FB1F49"/>
    <w:rsid w:val="00FE235E"/>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C0726CB2-BCAB-4894-B6A9-5A6AF313A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A0C"/>
    <w:pPr>
      <w:spacing w:after="200" w:line="240" w:lineRule="auto"/>
    </w:pPr>
  </w:style>
  <w:style w:type="paragraph" w:styleId="Heading1">
    <w:name w:val="heading 1"/>
    <w:basedOn w:val="Normal"/>
    <w:next w:val="Normal"/>
    <w:link w:val="Heading1Char"/>
    <w:uiPriority w:val="9"/>
    <w:qFormat/>
    <w:rsid w:val="00EB2945"/>
    <w:pPr>
      <w:keepNext/>
      <w:spacing w:before="360"/>
      <w:outlineLvl w:val="0"/>
    </w:pPr>
    <w:rPr>
      <w:rFonts w:asciiTheme="majorHAnsi" w:eastAsiaTheme="majorEastAsia" w:hAnsiTheme="majorHAnsi" w:cstheme="majorBidi"/>
      <w:b/>
      <w:sz w:val="36"/>
      <w:szCs w:val="32"/>
      <w:lang w:eastAsia="en-US"/>
    </w:rPr>
  </w:style>
  <w:style w:type="paragraph" w:styleId="Heading2">
    <w:name w:val="heading 2"/>
    <w:basedOn w:val="Normal"/>
    <w:next w:val="Normal"/>
    <w:link w:val="Heading2Char"/>
    <w:uiPriority w:val="9"/>
    <w:unhideWhenUsed/>
    <w:qFormat/>
    <w:rsid w:val="00EB2945"/>
    <w:pPr>
      <w:keepNext/>
      <w:outlineLvl w:val="1"/>
    </w:pPr>
    <w:rPr>
      <w:rFonts w:asciiTheme="majorHAnsi" w:eastAsiaTheme="majorEastAsia" w:hAnsiTheme="majorHAnsi" w:cstheme="majorBidi"/>
      <w:b/>
      <w:sz w:val="32"/>
      <w:szCs w:val="26"/>
      <w:lang w:eastAsia="en-US"/>
    </w:rPr>
  </w:style>
  <w:style w:type="paragraph" w:styleId="Heading3">
    <w:name w:val="heading 3"/>
    <w:basedOn w:val="Normal"/>
    <w:next w:val="Normal"/>
    <w:link w:val="Heading3Char"/>
    <w:uiPriority w:val="9"/>
    <w:unhideWhenUsed/>
    <w:qFormat/>
    <w:rsid w:val="00EB2945"/>
    <w:pPr>
      <w:keepNext/>
      <w:spacing w:after="120"/>
      <w:outlineLvl w:val="2"/>
    </w:pPr>
    <w:rPr>
      <w:rFonts w:asciiTheme="majorHAnsi" w:eastAsiaTheme="majorEastAsia" w:hAnsiTheme="majorHAnsi" w:cstheme="majorBidi"/>
      <w:b/>
      <w:sz w:val="24"/>
      <w:szCs w:val="24"/>
      <w:lang w:eastAsia="en-US"/>
    </w:rPr>
  </w:style>
  <w:style w:type="paragraph" w:styleId="Heading4">
    <w:name w:val="heading 4"/>
    <w:basedOn w:val="Normal"/>
    <w:next w:val="Normal"/>
    <w:link w:val="Heading4Char"/>
    <w:uiPriority w:val="9"/>
    <w:unhideWhenUsed/>
    <w:qFormat/>
    <w:rsid w:val="00DF0A0C"/>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DF0A0C"/>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DF0A0C"/>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DF0A0C"/>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DF0A0C"/>
    <w:pPr>
      <w:keepNext/>
      <w:keepLines/>
      <w:spacing w:before="40" w:after="0"/>
      <w:outlineLvl w:val="7"/>
    </w:pPr>
    <w:rPr>
      <w:rFonts w:asciiTheme="majorHAnsi" w:eastAsiaTheme="majorEastAsia" w:hAnsiTheme="majorHAnsi" w:cstheme="majorBidi"/>
      <w:color w:val="155589"/>
      <w:sz w:val="21"/>
      <w:szCs w:val="21"/>
    </w:rPr>
  </w:style>
  <w:style w:type="paragraph" w:styleId="Heading9">
    <w:name w:val="heading 9"/>
    <w:basedOn w:val="Normal"/>
    <w:next w:val="Normal"/>
    <w:link w:val="Heading9Char"/>
    <w:uiPriority w:val="9"/>
    <w:unhideWhenUsed/>
    <w:qFormat/>
    <w:rsid w:val="00DF0A0C"/>
    <w:pPr>
      <w:keepNext/>
      <w:keepLines/>
      <w:spacing w:before="40" w:after="0"/>
      <w:outlineLvl w:val="8"/>
    </w:pPr>
    <w:rPr>
      <w:rFonts w:asciiTheme="majorHAnsi" w:eastAsiaTheme="majorEastAsia" w:hAnsiTheme="majorHAnsi" w:cstheme="majorBidi"/>
      <w:i/>
      <w:iCs/>
      <w:color w:val="15558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2945"/>
    <w:rPr>
      <w:rFonts w:asciiTheme="majorHAnsi" w:eastAsiaTheme="majorEastAsia" w:hAnsiTheme="majorHAnsi" w:cstheme="majorBidi"/>
      <w:b/>
      <w:sz w:val="36"/>
      <w:szCs w:val="32"/>
      <w:lang w:eastAsia="en-US"/>
    </w:rPr>
  </w:style>
  <w:style w:type="character" w:customStyle="1" w:styleId="Heading2Char">
    <w:name w:val="Heading 2 Char"/>
    <w:basedOn w:val="DefaultParagraphFont"/>
    <w:link w:val="Heading2"/>
    <w:uiPriority w:val="9"/>
    <w:rsid w:val="00EB2945"/>
    <w:rPr>
      <w:rFonts w:asciiTheme="majorHAnsi" w:eastAsiaTheme="majorEastAsia" w:hAnsiTheme="majorHAnsi" w:cstheme="majorBidi"/>
      <w:b/>
      <w:sz w:val="32"/>
      <w:szCs w:val="26"/>
      <w:lang w:eastAsia="en-US"/>
    </w:rPr>
  </w:style>
  <w:style w:type="character" w:customStyle="1" w:styleId="Heading3Char">
    <w:name w:val="Heading 3 Char"/>
    <w:basedOn w:val="DefaultParagraphFont"/>
    <w:link w:val="Heading3"/>
    <w:uiPriority w:val="9"/>
    <w:rsid w:val="00EB2945"/>
    <w:rPr>
      <w:rFonts w:asciiTheme="majorHAnsi" w:eastAsiaTheme="majorEastAsia" w:hAnsiTheme="majorHAnsi" w:cstheme="majorBidi"/>
      <w:b/>
      <w:sz w:val="24"/>
      <w:szCs w:val="24"/>
      <w:lang w:eastAsia="en-US"/>
    </w:rPr>
  </w:style>
  <w:style w:type="character" w:styleId="Hyperlink">
    <w:name w:val="Hyperlink"/>
    <w:basedOn w:val="DefaultParagraphFont"/>
    <w:uiPriority w:val="99"/>
    <w:unhideWhenUsed/>
    <w:rsid w:val="00DF0A0C"/>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DF0A0C"/>
    <w:pPr>
      <w:ind w:left="567"/>
    </w:pPr>
    <w:rPr>
      <w:rFonts w:eastAsiaTheme="minorHAnsi"/>
      <w:i/>
      <w:iCs/>
      <w:color w:val="155589"/>
      <w:lang w:eastAsia="en-US"/>
    </w:rPr>
  </w:style>
  <w:style w:type="character" w:customStyle="1" w:styleId="QuoteChar">
    <w:name w:val="Quote Char"/>
    <w:basedOn w:val="DefaultParagraphFont"/>
    <w:link w:val="Quote"/>
    <w:uiPriority w:val="29"/>
    <w:rsid w:val="00DF0A0C"/>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DF0A0C"/>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DF0A0C"/>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DF0A0C"/>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heading">
    <w:name w:val="Table heading"/>
    <w:basedOn w:val="Normal"/>
    <w:next w:val="Normal"/>
    <w:rsid w:val="002117E6"/>
    <w:pPr>
      <w:spacing w:after="0"/>
    </w:pPr>
    <w:rPr>
      <w:rFonts w:eastAsia="Times New Roman" w:cs="Times New Roman"/>
      <w:b/>
      <w:bCs/>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DF0A0C"/>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DF0A0C"/>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DF0A0C"/>
    <w:rPr>
      <w:rFonts w:asciiTheme="majorHAnsi" w:eastAsiaTheme="majorEastAsia" w:hAnsiTheme="majorHAnsi" w:cstheme="majorBidi"/>
      <w:color w:val="155589"/>
      <w:sz w:val="21"/>
      <w:szCs w:val="21"/>
    </w:rPr>
  </w:style>
  <w:style w:type="character" w:customStyle="1" w:styleId="Heading9Char">
    <w:name w:val="Heading 9 Char"/>
    <w:basedOn w:val="DefaultParagraphFont"/>
    <w:link w:val="Heading9"/>
    <w:uiPriority w:val="9"/>
    <w:rsid w:val="00DF0A0C"/>
    <w:rPr>
      <w:rFonts w:asciiTheme="majorHAnsi" w:eastAsiaTheme="majorEastAsia" w:hAnsiTheme="majorHAnsi" w:cstheme="majorBidi"/>
      <w:i/>
      <w:iCs/>
      <w:color w:val="155589"/>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styleId="ListParagraph">
    <w:name w:val="List Paragraph"/>
    <w:basedOn w:val="Normal"/>
    <w:uiPriority w:val="34"/>
    <w:qFormat/>
    <w:rsid w:val="00E6155F"/>
    <w:pPr>
      <w:numPr>
        <w:numId w:val="3"/>
      </w:numPr>
      <w:ind w:left="567" w:hanging="567"/>
      <w:contextualSpacing/>
    </w:pPr>
  </w:style>
  <w:style w:type="paragraph" w:customStyle="1" w:styleId="Sourcenote">
    <w:name w:val="Source / note"/>
    <w:basedOn w:val="Normal"/>
    <w:qFormat/>
    <w:rsid w:val="00E6155F"/>
    <w:pPr>
      <w:spacing w:after="160" w:line="256" w:lineRule="auto"/>
    </w:pPr>
    <w:rPr>
      <w:sz w:val="20"/>
    </w:rPr>
  </w:style>
  <w:style w:type="paragraph" w:styleId="FootnoteText">
    <w:name w:val="footnote text"/>
    <w:basedOn w:val="Normal"/>
    <w:link w:val="FootnoteTextChar"/>
    <w:uiPriority w:val="99"/>
    <w:semiHidden/>
    <w:unhideWhenUsed/>
    <w:rsid w:val="007E0AE5"/>
    <w:pPr>
      <w:spacing w:after="0"/>
    </w:pPr>
    <w:rPr>
      <w:sz w:val="20"/>
      <w:szCs w:val="20"/>
    </w:rPr>
  </w:style>
  <w:style w:type="character" w:customStyle="1" w:styleId="FootnoteTextChar">
    <w:name w:val="Footnote Text Char"/>
    <w:basedOn w:val="DefaultParagraphFont"/>
    <w:link w:val="FootnoteText"/>
    <w:uiPriority w:val="99"/>
    <w:semiHidden/>
    <w:rsid w:val="007E0AE5"/>
    <w:rPr>
      <w:sz w:val="20"/>
      <w:szCs w:val="20"/>
    </w:rPr>
  </w:style>
  <w:style w:type="character" w:styleId="FootnoteReference">
    <w:name w:val="footnote reference"/>
    <w:basedOn w:val="DefaultParagraphFont"/>
    <w:uiPriority w:val="99"/>
    <w:semiHidden/>
    <w:unhideWhenUsed/>
    <w:rsid w:val="007E0AE5"/>
    <w:rPr>
      <w:vertAlign w:val="superscript"/>
    </w:rPr>
  </w:style>
  <w:style w:type="character" w:customStyle="1" w:styleId="superscriptfootnotereference">
    <w:name w:val="superscript footnote reference"/>
    <w:basedOn w:val="FootnoteReference"/>
    <w:uiPriority w:val="1"/>
    <w:qFormat/>
    <w:rsid w:val="007E0A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907398">
      <w:bodyDiv w:val="1"/>
      <w:marLeft w:val="0"/>
      <w:marRight w:val="0"/>
      <w:marTop w:val="0"/>
      <w:marBottom w:val="0"/>
      <w:divBdr>
        <w:top w:val="none" w:sz="0" w:space="0" w:color="auto"/>
        <w:left w:val="none" w:sz="0" w:space="0" w:color="auto"/>
        <w:bottom w:val="none" w:sz="0" w:space="0" w:color="auto"/>
        <w:right w:val="none" w:sz="0" w:space="0" w:color="auto"/>
      </w:divBdr>
    </w:div>
    <w:div w:id="726413547">
      <w:bodyDiv w:val="1"/>
      <w:marLeft w:val="0"/>
      <w:marRight w:val="0"/>
      <w:marTop w:val="0"/>
      <w:marBottom w:val="0"/>
      <w:divBdr>
        <w:top w:val="none" w:sz="0" w:space="0" w:color="auto"/>
        <w:left w:val="none" w:sz="0" w:space="0" w:color="auto"/>
        <w:bottom w:val="none" w:sz="0" w:space="0" w:color="auto"/>
        <w:right w:val="none" w:sz="0" w:space="0" w:color="auto"/>
      </w:divBdr>
    </w:div>
    <w:div w:id="16387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document%20-%20landscape%20-%20template.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D36E7F69882C34493BD61814B3C0A50" ma:contentTypeVersion="0" ma:contentTypeDescription="Create a new document." ma:contentTypeScope="" ma:versionID="9abd5f6a990f64a19862d139aa2f560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54B33E-E134-4521-9145-E7AF5115C2A2}">
  <ds:schemaRefs>
    <ds:schemaRef ds:uri="http://purl.org/dc/elements/1.1/"/>
    <ds:schemaRef ds:uri="http://schemas.microsoft.com/office/infopath/2007/PartnerControl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32493F44-A427-47D0-B563-F2B8880FAD2F}">
  <ds:schemaRefs>
    <ds:schemaRef ds:uri="http://schemas.microsoft.com/sharepoint/v3/contenttype/forms"/>
  </ds:schemaRefs>
</ds:datastoreItem>
</file>

<file path=customXml/itemProps3.xml><?xml version="1.0" encoding="utf-8"?>
<ds:datastoreItem xmlns:ds="http://schemas.openxmlformats.org/officeDocument/2006/customXml" ds:itemID="{2452DA40-1A4B-4401-88D3-B0B5214A21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A898AF-0459-4068-A0CB-6371F96F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document - landscape - template.dotx</Template>
  <TotalTime>2</TotalTime>
  <Pages>2</Pages>
  <Words>416</Words>
  <Characters>2615</Characters>
  <Application>Microsoft Office Word</Application>
  <DocSecurity>0</DocSecurity>
  <Lines>87</Lines>
  <Paragraphs>67</Paragraphs>
  <ScaleCrop>false</ScaleCrop>
  <HeadingPairs>
    <vt:vector size="2" baseType="variant">
      <vt:variant>
        <vt:lpstr>Title</vt:lpstr>
      </vt:variant>
      <vt:variant>
        <vt:i4>1</vt:i4>
      </vt:variant>
    </vt:vector>
  </HeadingPairs>
  <TitlesOfParts>
    <vt:vector size="1" baseType="lpstr">
      <vt:lpstr/>
    </vt:vector>
  </TitlesOfParts>
  <Company>Department of Communications and the Arts</Company>
  <LinksUpToDate>false</LinksUpToDate>
  <CharactersWithSpaces>2964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Indigenous Visual Arts Industry Support funding recipients 2014–15—February 2015</dc:title>
  <dc:subject/>
  <dc:creator>Department of Communications and the Arts</dc:creator>
  <cp:keywords/>
  <dc:description>May 2018</dc:description>
  <cp:lastModifiedBy>Department of Communications and the Arts</cp:lastModifiedBy>
  <cp:revision>4</cp:revision>
  <dcterms:created xsi:type="dcterms:W3CDTF">2018-07-11T07:07:00Z</dcterms:created>
  <dcterms:modified xsi:type="dcterms:W3CDTF">2018-07-11T07:12:00Z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0x0101003D36E7F69882C34493BD61814B3C0A50</vt:lpwstr>
  </property>
  <property fmtid="{D5CDD505-2E9C-101B-9397-08002B2CF9AE}" pid="3" name="TrimRevisionNumber">
    <vt:i4>5</vt:i4>
  </property>
</Properties>
</file>