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45" w:rsidRDefault="00EB2945" w:rsidP="009B6B47">
      <w:pPr>
        <w:pStyle w:val="Heading1"/>
      </w:pPr>
      <w:r>
        <w:t>Indigenous Visual Arts Industry Support</w:t>
      </w:r>
    </w:p>
    <w:p w:rsidR="00CE3E28" w:rsidRPr="001779AB" w:rsidRDefault="00CE3E28" w:rsidP="00CE3E28">
      <w:r w:rsidRPr="001779AB">
        <w:t>The Indigenous Visual Arts Industry Support program provides base operational support to a network of around 80 Indigenous-owned or governed art centres, as well as a number of industry service organisations across Australia. This network provides professional opportunities for over 6,000 Aboriginal and Torres Strait Islander visual artists and around 300 Aboriginal and Torres Strait Islander arts workers, most living in remote or very remote communities. Indigenous art centres support the production and marketing of Indigenous art and the intergenerational transmission of stories of law and culture, as well as providing training, economic development, leadership and employment opportunities for Aboriginal</w:t>
      </w:r>
      <w:bookmarkStart w:id="0" w:name="_GoBack"/>
      <w:bookmarkEnd w:id="0"/>
      <w:r w:rsidRPr="001779AB">
        <w:t xml:space="preserve"> and Torres Strait Islander peoples.</w:t>
      </w:r>
    </w:p>
    <w:p w:rsidR="00EB2945" w:rsidRPr="00C15AF6" w:rsidRDefault="00EB2945" w:rsidP="00EB2945">
      <w:pPr>
        <w:pStyle w:val="Heading2"/>
      </w:pPr>
      <w:r w:rsidRPr="00C15AF6">
        <w:t xml:space="preserve">Indigenous Visual Arts Industry Support funding recipients </w:t>
      </w:r>
      <w:r w:rsidR="00CE3E28" w:rsidRPr="001779AB">
        <w:t>2014–15—March 2015</w:t>
      </w:r>
    </w:p>
    <w:p w:rsidR="00EB2945" w:rsidRPr="00B55747" w:rsidRDefault="00CE3E28" w:rsidP="00EB2945">
      <w:pPr>
        <w:pStyle w:val="Heading3"/>
      </w:pPr>
      <w:r>
        <w:t>New South Wales</w:t>
      </w:r>
      <w:r w:rsidR="00EB2945">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ew South Wales—annual activities"/>
      </w:tblPr>
      <w:tblGrid>
        <w:gridCol w:w="1985"/>
        <w:gridCol w:w="2693"/>
        <w:gridCol w:w="7938"/>
        <w:gridCol w:w="1997"/>
      </w:tblGrid>
      <w:tr w:rsidR="00EB2945" w:rsidTr="0000583F">
        <w:trPr>
          <w:cantSplit/>
          <w:tblHeader/>
        </w:trPr>
        <w:tc>
          <w:tcPr>
            <w:tcW w:w="1985"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EB2945" w:rsidRDefault="00EB2945"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B2945" w:rsidRDefault="00EB2945" w:rsidP="0000583F">
            <w:pPr>
              <w:pStyle w:val="Tablerowcolumnheadingcentred"/>
            </w:pPr>
            <w:r>
              <w:t>Funding 2014–15</w:t>
            </w:r>
          </w:p>
        </w:tc>
      </w:tr>
      <w:tr w:rsidR="00CE3E28" w:rsidTr="0000583F">
        <w:trPr>
          <w:cantSplit/>
        </w:trPr>
        <w:tc>
          <w:tcPr>
            <w:tcW w:w="1985" w:type="dxa"/>
            <w:tcBorders>
              <w:top w:val="thickThinLargeGap" w:sz="24" w:space="0" w:color="auto"/>
              <w:left w:val="nil"/>
              <w:bottom w:val="single" w:sz="4" w:space="0" w:color="auto"/>
              <w:right w:val="nil"/>
            </w:tcBorders>
          </w:tcPr>
          <w:p w:rsidR="00CE3E28" w:rsidRPr="001779AB" w:rsidRDefault="00CE3E28" w:rsidP="00CE3E28">
            <w:pPr>
              <w:pStyle w:val="Tabletext"/>
            </w:pPr>
            <w:r w:rsidRPr="001779AB">
              <w:t>Woolloomooloo</w:t>
            </w:r>
          </w:p>
        </w:tc>
        <w:tc>
          <w:tcPr>
            <w:tcW w:w="2693" w:type="dxa"/>
            <w:tcBorders>
              <w:top w:val="thickThinLargeGap" w:sz="24" w:space="0" w:color="auto"/>
              <w:left w:val="nil"/>
              <w:bottom w:val="single" w:sz="4" w:space="0" w:color="auto"/>
              <w:right w:val="nil"/>
            </w:tcBorders>
          </w:tcPr>
          <w:p w:rsidR="00CE3E28" w:rsidRPr="001779AB" w:rsidRDefault="00CE3E28" w:rsidP="00CE3E28">
            <w:pPr>
              <w:pStyle w:val="Tabletext"/>
            </w:pPr>
            <w:r w:rsidRPr="001779AB">
              <w:t xml:space="preserve">Arts Law Centre of Australia </w:t>
            </w:r>
          </w:p>
        </w:tc>
        <w:tc>
          <w:tcPr>
            <w:tcW w:w="7938" w:type="dxa"/>
            <w:tcBorders>
              <w:top w:val="thickThinLargeGap" w:sz="24" w:space="0" w:color="auto"/>
              <w:left w:val="nil"/>
              <w:bottom w:val="single" w:sz="4" w:space="0" w:color="auto"/>
              <w:right w:val="nil"/>
            </w:tcBorders>
          </w:tcPr>
          <w:p w:rsidR="00CE3E28" w:rsidRPr="001779AB" w:rsidRDefault="00CE3E28" w:rsidP="00CE3E28">
            <w:pPr>
              <w:pStyle w:val="Tabletext"/>
            </w:pPr>
            <w:r w:rsidRPr="001779AB">
              <w:t>To provide Aboriginal and Torres Strait Islander artists in remote communities with a tailored will-writing service to ensure that income in these artists’ estates is distributed in accordance w</w:t>
            </w:r>
            <w:r>
              <w:t>ith the artists’ instructions.</w:t>
            </w:r>
          </w:p>
        </w:tc>
        <w:tc>
          <w:tcPr>
            <w:tcW w:w="1997" w:type="dxa"/>
            <w:tcBorders>
              <w:top w:val="thickThinLargeGap" w:sz="24" w:space="0" w:color="auto"/>
              <w:left w:val="nil"/>
              <w:bottom w:val="single" w:sz="4" w:space="0" w:color="auto"/>
              <w:right w:val="nil"/>
            </w:tcBorders>
          </w:tcPr>
          <w:p w:rsidR="00CE3E28" w:rsidRPr="001779AB" w:rsidRDefault="00CE3E28" w:rsidP="00CE3E28">
            <w:pPr>
              <w:pStyle w:val="Tabletextcentred"/>
            </w:pPr>
            <w:r w:rsidRPr="001779AB">
              <w:t>$39,000</w:t>
            </w:r>
          </w:p>
        </w:tc>
      </w:tr>
      <w:tr w:rsidR="00CE3E28" w:rsidTr="0000583F">
        <w:trPr>
          <w:cantSplit/>
        </w:trPr>
        <w:tc>
          <w:tcPr>
            <w:tcW w:w="1985" w:type="dxa"/>
            <w:tcBorders>
              <w:top w:val="single" w:sz="4" w:space="0" w:color="auto"/>
              <w:left w:val="nil"/>
              <w:bottom w:val="single" w:sz="12" w:space="0" w:color="auto"/>
              <w:right w:val="nil"/>
            </w:tcBorders>
          </w:tcPr>
          <w:p w:rsidR="00CE3E28" w:rsidRPr="001779AB" w:rsidRDefault="00CE3E28" w:rsidP="00CE3E28">
            <w:pPr>
              <w:pStyle w:val="Tabletext"/>
            </w:pPr>
            <w:r w:rsidRPr="001779AB">
              <w:t>Sydney</w:t>
            </w:r>
          </w:p>
        </w:tc>
        <w:tc>
          <w:tcPr>
            <w:tcW w:w="2693" w:type="dxa"/>
            <w:tcBorders>
              <w:top w:val="single" w:sz="4" w:space="0" w:color="auto"/>
              <w:left w:val="nil"/>
              <w:bottom w:val="single" w:sz="12" w:space="0" w:color="auto"/>
              <w:right w:val="nil"/>
            </w:tcBorders>
          </w:tcPr>
          <w:p w:rsidR="00CE3E28" w:rsidRPr="001779AB" w:rsidRDefault="00CE3E28" w:rsidP="00CE3E28">
            <w:pPr>
              <w:pStyle w:val="Tabletext"/>
            </w:pPr>
            <w:r w:rsidRPr="001779AB">
              <w:t>Macquarie University</w:t>
            </w:r>
          </w:p>
        </w:tc>
        <w:tc>
          <w:tcPr>
            <w:tcW w:w="7938" w:type="dxa"/>
            <w:tcBorders>
              <w:top w:val="single" w:sz="4" w:space="0" w:color="auto"/>
              <w:left w:val="nil"/>
              <w:bottom w:val="single" w:sz="12" w:space="0" w:color="auto"/>
              <w:right w:val="nil"/>
            </w:tcBorders>
          </w:tcPr>
          <w:p w:rsidR="00CE3E28" w:rsidRPr="001779AB" w:rsidRDefault="00CE3E28" w:rsidP="00CE3E28">
            <w:pPr>
              <w:pStyle w:val="Tabletext"/>
            </w:pPr>
            <w:r w:rsidRPr="001779AB">
              <w:t>To undertake one stage of a six part national survey that will investigate how remote Aboriginal and Torres Strait Islander artists sustain their art practice and utilise their cultural knowledg</w:t>
            </w:r>
            <w:r>
              <w:t>e to achieve economic outcomes.</w:t>
            </w:r>
          </w:p>
        </w:tc>
        <w:tc>
          <w:tcPr>
            <w:tcW w:w="1997" w:type="dxa"/>
            <w:tcBorders>
              <w:top w:val="single" w:sz="4" w:space="0" w:color="auto"/>
              <w:left w:val="nil"/>
              <w:bottom w:val="single" w:sz="12" w:space="0" w:color="auto"/>
              <w:right w:val="nil"/>
            </w:tcBorders>
          </w:tcPr>
          <w:p w:rsidR="00CE3E28" w:rsidRPr="001779AB" w:rsidRDefault="00CE3E28" w:rsidP="00CE3E28">
            <w:pPr>
              <w:pStyle w:val="Tabletextcentred"/>
            </w:pPr>
            <w:r w:rsidRPr="001779AB">
              <w:t>$50,000</w:t>
            </w:r>
          </w:p>
        </w:tc>
      </w:tr>
    </w:tbl>
    <w:p w:rsidR="00EB2945" w:rsidRDefault="00EB2945" w:rsidP="00EB2945"/>
    <w:p w:rsidR="00CE3E28" w:rsidRPr="00B55747" w:rsidRDefault="00CE3E28" w:rsidP="00CE3E28">
      <w:pPr>
        <w:pStyle w:val="Heading3"/>
      </w:pPr>
      <w:r>
        <w:t>N</w:t>
      </w:r>
      <w:r>
        <w:t>orthern Territory</w:t>
      </w:r>
      <w:r>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orthern Territory—annual activities"/>
      </w:tblPr>
      <w:tblGrid>
        <w:gridCol w:w="1985"/>
        <w:gridCol w:w="2693"/>
        <w:gridCol w:w="7938"/>
        <w:gridCol w:w="1997"/>
      </w:tblGrid>
      <w:tr w:rsidR="00CE3E28" w:rsidTr="0000583F">
        <w:trPr>
          <w:cantSplit/>
          <w:tblHeader/>
        </w:trPr>
        <w:tc>
          <w:tcPr>
            <w:tcW w:w="1985" w:type="dxa"/>
            <w:tcBorders>
              <w:top w:val="nil"/>
              <w:left w:val="nil"/>
              <w:bottom w:val="thickThinLargeGap" w:sz="24" w:space="0" w:color="auto"/>
              <w:right w:val="nil"/>
            </w:tcBorders>
            <w:shd w:val="clear" w:color="auto" w:fill="C2D69B"/>
          </w:tcPr>
          <w:p w:rsidR="00CE3E28" w:rsidRDefault="00CE3E28"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CE3E28" w:rsidRDefault="00CE3E28"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CE3E28" w:rsidRDefault="00CE3E28"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CE3E28" w:rsidRDefault="00CE3E28" w:rsidP="0000583F">
            <w:pPr>
              <w:pStyle w:val="Tablerowcolumnheadingcentred"/>
            </w:pPr>
            <w:r>
              <w:t>Funding 2014–15</w:t>
            </w:r>
          </w:p>
        </w:tc>
      </w:tr>
      <w:tr w:rsidR="00CE3E28" w:rsidTr="0000583F">
        <w:trPr>
          <w:cantSplit/>
        </w:trPr>
        <w:tc>
          <w:tcPr>
            <w:tcW w:w="1985" w:type="dxa"/>
            <w:tcBorders>
              <w:top w:val="single" w:sz="4" w:space="0" w:color="auto"/>
              <w:left w:val="nil"/>
              <w:bottom w:val="single" w:sz="12" w:space="0" w:color="auto"/>
              <w:right w:val="nil"/>
            </w:tcBorders>
          </w:tcPr>
          <w:p w:rsidR="00CE3E28" w:rsidRPr="001779AB" w:rsidRDefault="00CE3E28" w:rsidP="00CE3E28">
            <w:pPr>
              <w:pStyle w:val="Tabletext"/>
            </w:pPr>
            <w:r w:rsidRPr="001779AB">
              <w:t>Alice Springs</w:t>
            </w:r>
          </w:p>
        </w:tc>
        <w:tc>
          <w:tcPr>
            <w:tcW w:w="2693" w:type="dxa"/>
            <w:tcBorders>
              <w:top w:val="single" w:sz="4" w:space="0" w:color="auto"/>
              <w:left w:val="nil"/>
              <w:bottom w:val="single" w:sz="12" w:space="0" w:color="auto"/>
              <w:right w:val="nil"/>
            </w:tcBorders>
          </w:tcPr>
          <w:p w:rsidR="00CE3E28" w:rsidRPr="001779AB" w:rsidRDefault="00CE3E28" w:rsidP="00CE3E28">
            <w:pPr>
              <w:pStyle w:val="Tabletext"/>
            </w:pPr>
            <w:proofErr w:type="spellStart"/>
            <w:r w:rsidRPr="001779AB">
              <w:t>Desart</w:t>
            </w:r>
            <w:proofErr w:type="spellEnd"/>
            <w:r w:rsidRPr="001779AB">
              <w:t xml:space="preserve"> Inc.</w:t>
            </w:r>
          </w:p>
        </w:tc>
        <w:tc>
          <w:tcPr>
            <w:tcW w:w="7938" w:type="dxa"/>
            <w:tcBorders>
              <w:top w:val="single" w:sz="4" w:space="0" w:color="auto"/>
              <w:left w:val="nil"/>
              <w:bottom w:val="single" w:sz="12" w:space="0" w:color="auto"/>
              <w:right w:val="nil"/>
            </w:tcBorders>
          </w:tcPr>
          <w:p w:rsidR="00CE3E28" w:rsidRPr="001779AB" w:rsidRDefault="00CE3E28" w:rsidP="00CE3E28">
            <w:pPr>
              <w:pStyle w:val="Tabletext"/>
            </w:pPr>
            <w:r w:rsidRPr="001779AB">
              <w:t xml:space="preserve">To deliver training for Indigenous art centre staff on use of the Stories Art Money (SAM) database, an online art cataloguing, </w:t>
            </w:r>
            <w:proofErr w:type="spellStart"/>
            <w:r w:rsidRPr="001779AB">
              <w:t>provenancing</w:t>
            </w:r>
            <w:proofErr w:type="spellEnd"/>
            <w:r w:rsidRPr="001779AB">
              <w:t xml:space="preserve"> and sales syst</w:t>
            </w:r>
            <w:r>
              <w:t>em used by over 60 art centres.</w:t>
            </w:r>
          </w:p>
        </w:tc>
        <w:tc>
          <w:tcPr>
            <w:tcW w:w="1997" w:type="dxa"/>
            <w:tcBorders>
              <w:top w:val="single" w:sz="4" w:space="0" w:color="auto"/>
              <w:left w:val="nil"/>
              <w:bottom w:val="single" w:sz="12" w:space="0" w:color="auto"/>
              <w:right w:val="nil"/>
            </w:tcBorders>
          </w:tcPr>
          <w:p w:rsidR="00CE3E28" w:rsidRPr="001779AB" w:rsidRDefault="00CE3E28" w:rsidP="00CE3E28">
            <w:pPr>
              <w:pStyle w:val="Tabletextcentred"/>
            </w:pPr>
            <w:r w:rsidRPr="001779AB">
              <w:t>$85,000</w:t>
            </w:r>
          </w:p>
        </w:tc>
      </w:tr>
    </w:tbl>
    <w:p w:rsidR="00CE3E28" w:rsidRDefault="00CE3E28" w:rsidP="00CE3E28"/>
    <w:p w:rsidR="00CE3E28" w:rsidRPr="00B55747" w:rsidRDefault="00CE3E28" w:rsidP="00CE3E28">
      <w:pPr>
        <w:pStyle w:val="Heading3"/>
      </w:pPr>
      <w:r>
        <w:lastRenderedPageBreak/>
        <w:t>Western Australia</w:t>
      </w:r>
      <w:r>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Western Australia—annual activities"/>
      </w:tblPr>
      <w:tblGrid>
        <w:gridCol w:w="1985"/>
        <w:gridCol w:w="2693"/>
        <w:gridCol w:w="7938"/>
        <w:gridCol w:w="1997"/>
      </w:tblGrid>
      <w:tr w:rsidR="00CE3E28" w:rsidTr="0000583F">
        <w:trPr>
          <w:cantSplit/>
          <w:tblHeader/>
        </w:trPr>
        <w:tc>
          <w:tcPr>
            <w:tcW w:w="1985" w:type="dxa"/>
            <w:tcBorders>
              <w:top w:val="nil"/>
              <w:left w:val="nil"/>
              <w:bottom w:val="thickThinLargeGap" w:sz="24" w:space="0" w:color="auto"/>
              <w:right w:val="nil"/>
            </w:tcBorders>
            <w:shd w:val="clear" w:color="auto" w:fill="C2D69B"/>
          </w:tcPr>
          <w:p w:rsidR="00CE3E28" w:rsidRDefault="00CE3E28"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CE3E28" w:rsidRDefault="00CE3E28"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CE3E28" w:rsidRDefault="00CE3E28"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CE3E28" w:rsidRDefault="00CE3E28" w:rsidP="0000583F">
            <w:pPr>
              <w:pStyle w:val="Tablerowcolumnheadingcentred"/>
            </w:pPr>
            <w:r>
              <w:t>Funding 2014–15</w:t>
            </w:r>
          </w:p>
        </w:tc>
      </w:tr>
      <w:tr w:rsidR="00CE3E28" w:rsidTr="0000583F">
        <w:trPr>
          <w:cantSplit/>
        </w:trPr>
        <w:tc>
          <w:tcPr>
            <w:tcW w:w="1985" w:type="dxa"/>
            <w:tcBorders>
              <w:top w:val="single" w:sz="4" w:space="0" w:color="auto"/>
              <w:left w:val="nil"/>
              <w:bottom w:val="single" w:sz="12" w:space="0" w:color="auto"/>
              <w:right w:val="nil"/>
            </w:tcBorders>
          </w:tcPr>
          <w:p w:rsidR="00CE3E28" w:rsidRPr="001779AB" w:rsidRDefault="00CE3E28" w:rsidP="00CE3E28">
            <w:pPr>
              <w:pStyle w:val="Tabletext"/>
            </w:pPr>
            <w:r w:rsidRPr="001779AB">
              <w:t>Blackstone</w:t>
            </w:r>
          </w:p>
        </w:tc>
        <w:tc>
          <w:tcPr>
            <w:tcW w:w="2693" w:type="dxa"/>
            <w:tcBorders>
              <w:top w:val="single" w:sz="4" w:space="0" w:color="auto"/>
              <w:left w:val="nil"/>
              <w:bottom w:val="single" w:sz="12" w:space="0" w:color="auto"/>
              <w:right w:val="nil"/>
            </w:tcBorders>
          </w:tcPr>
          <w:p w:rsidR="00CE3E28" w:rsidRPr="001779AB" w:rsidRDefault="00CE3E28" w:rsidP="00CE3E28">
            <w:pPr>
              <w:pStyle w:val="Tabletext"/>
            </w:pPr>
            <w:proofErr w:type="spellStart"/>
            <w:r w:rsidRPr="001779AB">
              <w:t>Papulankutja</w:t>
            </w:r>
            <w:proofErr w:type="spellEnd"/>
            <w:r w:rsidRPr="001779AB">
              <w:t xml:space="preserve"> Artists Aboriginal Corporation </w:t>
            </w:r>
          </w:p>
        </w:tc>
        <w:tc>
          <w:tcPr>
            <w:tcW w:w="7938" w:type="dxa"/>
            <w:tcBorders>
              <w:top w:val="single" w:sz="4" w:space="0" w:color="auto"/>
              <w:left w:val="nil"/>
              <w:bottom w:val="single" w:sz="12" w:space="0" w:color="auto"/>
              <w:right w:val="nil"/>
            </w:tcBorders>
          </w:tcPr>
          <w:p w:rsidR="00CE3E28" w:rsidRPr="001779AB" w:rsidRDefault="00CE3E28" w:rsidP="00CE3E28">
            <w:pPr>
              <w:pStyle w:val="Tabletext"/>
            </w:pPr>
            <w:r w:rsidRPr="001779AB">
              <w:t xml:space="preserve">To contribute to the cost of rebuilding the fire-damaged </w:t>
            </w:r>
            <w:proofErr w:type="spellStart"/>
            <w:r w:rsidRPr="001779AB">
              <w:t>Papulankutja</w:t>
            </w:r>
            <w:proofErr w:type="spellEnd"/>
            <w:r w:rsidRPr="001779AB">
              <w:t xml:space="preserve"> art centre gallery and art store, in the community of</w:t>
            </w:r>
            <w:r>
              <w:t xml:space="preserve"> Blackstone, Western Australia.</w:t>
            </w:r>
          </w:p>
        </w:tc>
        <w:tc>
          <w:tcPr>
            <w:tcW w:w="1997" w:type="dxa"/>
            <w:tcBorders>
              <w:top w:val="single" w:sz="4" w:space="0" w:color="auto"/>
              <w:left w:val="nil"/>
              <w:bottom w:val="single" w:sz="12" w:space="0" w:color="auto"/>
              <w:right w:val="nil"/>
            </w:tcBorders>
          </w:tcPr>
          <w:p w:rsidR="00CE3E28" w:rsidRPr="001779AB" w:rsidRDefault="00CE3E28" w:rsidP="00CE3E28">
            <w:pPr>
              <w:pStyle w:val="Tabletextcentred"/>
            </w:pPr>
            <w:r w:rsidRPr="001779AB">
              <w:t>$25,000</w:t>
            </w:r>
          </w:p>
        </w:tc>
      </w:tr>
    </w:tbl>
    <w:p w:rsidR="00CE3E28" w:rsidRDefault="00CE3E28" w:rsidP="00CE3E28"/>
    <w:p w:rsidR="00CE3E28" w:rsidRPr="00B55747" w:rsidRDefault="00CE3E28" w:rsidP="00CE3E28">
      <w:pPr>
        <w:pStyle w:val="Heading3"/>
      </w:pPr>
      <w:r>
        <w:t>Queensland</w:t>
      </w:r>
      <w:r>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Queensland—annual activities"/>
      </w:tblPr>
      <w:tblGrid>
        <w:gridCol w:w="1985"/>
        <w:gridCol w:w="2693"/>
        <w:gridCol w:w="7938"/>
        <w:gridCol w:w="1997"/>
      </w:tblGrid>
      <w:tr w:rsidR="00CE3E28" w:rsidTr="0000583F">
        <w:trPr>
          <w:cantSplit/>
          <w:tblHeader/>
        </w:trPr>
        <w:tc>
          <w:tcPr>
            <w:tcW w:w="1985" w:type="dxa"/>
            <w:tcBorders>
              <w:top w:val="nil"/>
              <w:left w:val="nil"/>
              <w:bottom w:val="thickThinLargeGap" w:sz="24" w:space="0" w:color="auto"/>
              <w:right w:val="nil"/>
            </w:tcBorders>
            <w:shd w:val="clear" w:color="auto" w:fill="C2D69B"/>
          </w:tcPr>
          <w:p w:rsidR="00CE3E28" w:rsidRDefault="00CE3E28"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CE3E28" w:rsidRDefault="00CE3E28"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CE3E28" w:rsidRDefault="00CE3E28"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CE3E28" w:rsidRDefault="00CE3E28" w:rsidP="0000583F">
            <w:pPr>
              <w:pStyle w:val="Tablerowcolumnheadingcentred"/>
            </w:pPr>
            <w:r>
              <w:t>Funding 2014–15</w:t>
            </w:r>
          </w:p>
        </w:tc>
      </w:tr>
      <w:tr w:rsidR="00CE3E28" w:rsidTr="0000583F">
        <w:trPr>
          <w:cantSplit/>
        </w:trPr>
        <w:tc>
          <w:tcPr>
            <w:tcW w:w="1985" w:type="dxa"/>
            <w:tcBorders>
              <w:top w:val="single" w:sz="4" w:space="0" w:color="auto"/>
              <w:left w:val="nil"/>
              <w:bottom w:val="single" w:sz="12" w:space="0" w:color="auto"/>
              <w:right w:val="nil"/>
            </w:tcBorders>
          </w:tcPr>
          <w:p w:rsidR="00CE3E28" w:rsidRPr="001779AB" w:rsidRDefault="00CE3E28" w:rsidP="00CE3E28">
            <w:pPr>
              <w:pStyle w:val="Tabletext"/>
            </w:pPr>
            <w:r w:rsidRPr="001779AB">
              <w:t>Cairns</w:t>
            </w:r>
          </w:p>
        </w:tc>
        <w:tc>
          <w:tcPr>
            <w:tcW w:w="2693" w:type="dxa"/>
            <w:tcBorders>
              <w:top w:val="single" w:sz="4" w:space="0" w:color="auto"/>
              <w:left w:val="nil"/>
              <w:bottom w:val="single" w:sz="12" w:space="0" w:color="auto"/>
              <w:right w:val="nil"/>
            </w:tcBorders>
          </w:tcPr>
          <w:p w:rsidR="00CE3E28" w:rsidRPr="001779AB" w:rsidRDefault="00CE3E28" w:rsidP="00CE3E28">
            <w:pPr>
              <w:pStyle w:val="Tabletext"/>
            </w:pPr>
            <w:proofErr w:type="spellStart"/>
            <w:r w:rsidRPr="001779AB">
              <w:t>Umi</w:t>
            </w:r>
            <w:proofErr w:type="spellEnd"/>
            <w:r w:rsidRPr="001779AB">
              <w:t xml:space="preserve"> Arts Ltd. </w:t>
            </w:r>
          </w:p>
        </w:tc>
        <w:tc>
          <w:tcPr>
            <w:tcW w:w="7938" w:type="dxa"/>
            <w:tcBorders>
              <w:top w:val="single" w:sz="4" w:space="0" w:color="auto"/>
              <w:left w:val="nil"/>
              <w:bottom w:val="single" w:sz="12" w:space="0" w:color="auto"/>
              <w:right w:val="nil"/>
            </w:tcBorders>
          </w:tcPr>
          <w:p w:rsidR="00CE3E28" w:rsidRPr="001779AB" w:rsidRDefault="00CE3E28" w:rsidP="00CE3E28">
            <w:pPr>
              <w:pStyle w:val="Tabletext"/>
            </w:pPr>
            <w:r w:rsidRPr="001779AB">
              <w:t>To engage a developer to write learning and assessment resources for three units in the tertiary qualification of Certificate II in Aboriginal and Torres Strait Isla</w:t>
            </w:r>
            <w:r>
              <w:t>nder Visual Arts Industry Work.</w:t>
            </w:r>
          </w:p>
        </w:tc>
        <w:tc>
          <w:tcPr>
            <w:tcW w:w="1997" w:type="dxa"/>
            <w:tcBorders>
              <w:top w:val="single" w:sz="4" w:space="0" w:color="auto"/>
              <w:left w:val="nil"/>
              <w:bottom w:val="single" w:sz="12" w:space="0" w:color="auto"/>
              <w:right w:val="nil"/>
            </w:tcBorders>
          </w:tcPr>
          <w:p w:rsidR="00CE3E28" w:rsidRPr="001779AB" w:rsidRDefault="00CE3E28" w:rsidP="00CE3E28">
            <w:pPr>
              <w:pStyle w:val="Tabletextcentred"/>
            </w:pPr>
            <w:r w:rsidRPr="001779AB">
              <w:t>$21,000</w:t>
            </w:r>
          </w:p>
        </w:tc>
      </w:tr>
    </w:tbl>
    <w:p w:rsidR="00CE3E28" w:rsidRDefault="00CE3E28" w:rsidP="00CE3E28"/>
    <w:p w:rsidR="00C8567C" w:rsidRDefault="00C8567C" w:rsidP="00C8567C"/>
    <w:sectPr w:rsidR="00C8567C" w:rsidSect="007934E8">
      <w:footerReference w:type="default" r:id="rId11"/>
      <w:footerReference w:type="first" r:id="rId12"/>
      <w:type w:val="continuous"/>
      <w:pgSz w:w="16838" w:h="11906" w:orient="landscape"/>
      <w:pgMar w:top="1440" w:right="1418" w:bottom="1274"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27" w:rsidRDefault="00C31727" w:rsidP="002117E6">
      <w:pPr>
        <w:spacing w:after="0"/>
      </w:pPr>
      <w:r>
        <w:separator/>
      </w:r>
    </w:p>
  </w:endnote>
  <w:endnote w:type="continuationSeparator" w:id="0">
    <w:p w:rsidR="00C31727" w:rsidRDefault="00C31727"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C1" w:rsidRPr="002117E6" w:rsidRDefault="00E02FC1" w:rsidP="00E02FC1">
    <w:pPr>
      <w:pStyle w:val="Footer"/>
      <w:tabs>
        <w:tab w:val="clear" w:pos="4513"/>
        <w:tab w:val="clear" w:pos="9026"/>
        <w:tab w:val="center" w:pos="7088"/>
        <w:tab w:val="right" w:pos="13892"/>
      </w:tabs>
      <w:ind w:right="-46"/>
      <w:rPr>
        <w:rStyle w:val="Hyperlink"/>
        <w:color w:val="auto"/>
        <w:sz w:val="18"/>
        <w:szCs w:val="18"/>
      </w:rPr>
    </w:pPr>
    <w:r w:rsidRPr="001D7905">
      <w:rPr>
        <w:color w:val="001C40" w:themeColor="text2"/>
        <w:sz w:val="18"/>
        <w:szCs w:val="18"/>
      </w:rPr>
      <w:tab/>
    </w:r>
    <w:sdt>
      <w:sdtPr>
        <w:rPr>
          <w:color w:val="001C40" w:themeColor="text2"/>
          <w:sz w:val="18"/>
          <w:szCs w:val="18"/>
        </w:rPr>
        <w:id w:val="1985430236"/>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CE3E28">
          <w:rPr>
            <w:bCs/>
            <w:noProof/>
            <w:color w:val="001C40" w:themeColor="text2"/>
            <w:sz w:val="18"/>
            <w:szCs w:val="18"/>
          </w:rPr>
          <w:t>2</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CE3E28">
          <w:rPr>
            <w:bCs/>
            <w:noProof/>
            <w:color w:val="001C40" w:themeColor="text2"/>
            <w:sz w:val="18"/>
            <w:szCs w:val="18"/>
          </w:rPr>
          <w:t>2</w:t>
        </w:r>
        <w:r w:rsidRPr="001D7905">
          <w:rPr>
            <w:bCs/>
            <w:color w:val="001C40" w:themeColor="text2"/>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E8" w:rsidRPr="002117E6" w:rsidRDefault="007934E8" w:rsidP="00EB2945">
    <w:pPr>
      <w:pStyle w:val="Footer"/>
      <w:tabs>
        <w:tab w:val="clear" w:pos="4513"/>
        <w:tab w:val="clear" w:pos="9026"/>
        <w:tab w:val="center" w:pos="7088"/>
        <w:tab w:val="right" w:pos="13892"/>
      </w:tabs>
      <w:ind w:right="-46"/>
      <w:rPr>
        <w:rStyle w:val="Hyperlink"/>
        <w:color w:val="auto"/>
        <w:sz w:val="18"/>
        <w:szCs w:val="18"/>
      </w:rPr>
    </w:pPr>
    <w:r w:rsidRPr="001D7905">
      <w:rPr>
        <w:color w:val="001C40" w:themeColor="text2"/>
        <w:sz w:val="18"/>
        <w:szCs w:val="18"/>
      </w:rPr>
      <w:tab/>
    </w:r>
    <w:sdt>
      <w:sdtPr>
        <w:rPr>
          <w:color w:val="001C40" w:themeColor="text2"/>
          <w:sz w:val="18"/>
          <w:szCs w:val="18"/>
        </w:rPr>
        <w:id w:val="-401056903"/>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CE3E28">
          <w:rPr>
            <w:bCs/>
            <w:noProof/>
            <w:color w:val="001C40" w:themeColor="text2"/>
            <w:sz w:val="18"/>
            <w:szCs w:val="18"/>
          </w:rPr>
          <w:t>1</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CE3E28">
          <w:rPr>
            <w:bCs/>
            <w:noProof/>
            <w:color w:val="001C40" w:themeColor="text2"/>
            <w:sz w:val="18"/>
            <w:szCs w:val="18"/>
          </w:rPr>
          <w:t>2</w:t>
        </w:r>
        <w:r w:rsidRPr="001D7905">
          <w:rPr>
            <w:bCs/>
            <w:color w:val="001C40" w:themeColor="text2"/>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27" w:rsidRDefault="00C31727" w:rsidP="002117E6">
      <w:pPr>
        <w:spacing w:after="0"/>
      </w:pPr>
      <w:r>
        <w:separator/>
      </w:r>
    </w:p>
  </w:footnote>
  <w:footnote w:type="continuationSeparator" w:id="0">
    <w:p w:rsidR="00C31727" w:rsidRDefault="00C31727"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1C15"/>
    <w:multiLevelType w:val="hybridMultilevel"/>
    <w:tmpl w:val="1FE4B7E6"/>
    <w:lvl w:ilvl="0" w:tplc="43103D04">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D77185"/>
    <w:multiLevelType w:val="hybridMultilevel"/>
    <w:tmpl w:val="A8F2D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27"/>
    <w:rsid w:val="00005D53"/>
    <w:rsid w:val="000D2A74"/>
    <w:rsid w:val="001471EA"/>
    <w:rsid w:val="001472FC"/>
    <w:rsid w:val="0019701B"/>
    <w:rsid w:val="001C77C0"/>
    <w:rsid w:val="001D7905"/>
    <w:rsid w:val="002117E6"/>
    <w:rsid w:val="00293DD6"/>
    <w:rsid w:val="002C75DE"/>
    <w:rsid w:val="00335334"/>
    <w:rsid w:val="00381364"/>
    <w:rsid w:val="003F495D"/>
    <w:rsid w:val="00450D6E"/>
    <w:rsid w:val="00470B79"/>
    <w:rsid w:val="00503B3F"/>
    <w:rsid w:val="00544465"/>
    <w:rsid w:val="00565B47"/>
    <w:rsid w:val="00575A5A"/>
    <w:rsid w:val="0059002A"/>
    <w:rsid w:val="005932D0"/>
    <w:rsid w:val="005C74B7"/>
    <w:rsid w:val="0061446D"/>
    <w:rsid w:val="0064138E"/>
    <w:rsid w:val="00652B84"/>
    <w:rsid w:val="00654260"/>
    <w:rsid w:val="006A2F0E"/>
    <w:rsid w:val="00753BB6"/>
    <w:rsid w:val="00771EF1"/>
    <w:rsid w:val="007934E8"/>
    <w:rsid w:val="007E0AE5"/>
    <w:rsid w:val="008A4B1F"/>
    <w:rsid w:val="008F776C"/>
    <w:rsid w:val="009313D2"/>
    <w:rsid w:val="0094124E"/>
    <w:rsid w:val="009B6B47"/>
    <w:rsid w:val="009B7EF0"/>
    <w:rsid w:val="009E12E4"/>
    <w:rsid w:val="00A241FE"/>
    <w:rsid w:val="00AE4F02"/>
    <w:rsid w:val="00B049A4"/>
    <w:rsid w:val="00B55747"/>
    <w:rsid w:val="00BC329E"/>
    <w:rsid w:val="00BE7E66"/>
    <w:rsid w:val="00C31727"/>
    <w:rsid w:val="00C8567C"/>
    <w:rsid w:val="00CE3E28"/>
    <w:rsid w:val="00D06CBF"/>
    <w:rsid w:val="00D85692"/>
    <w:rsid w:val="00DD5D52"/>
    <w:rsid w:val="00DF0A0C"/>
    <w:rsid w:val="00E02FC1"/>
    <w:rsid w:val="00E31BD3"/>
    <w:rsid w:val="00E6155F"/>
    <w:rsid w:val="00EA6D34"/>
    <w:rsid w:val="00EB2945"/>
    <w:rsid w:val="00F408EE"/>
    <w:rsid w:val="00F7051B"/>
    <w:rsid w:val="00FB1F49"/>
    <w:rsid w:val="00FE235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0726CB2-BCAB-4894-B6A9-5A6AF313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0C"/>
    <w:pPr>
      <w:spacing w:after="200" w:line="240" w:lineRule="auto"/>
    </w:pPr>
  </w:style>
  <w:style w:type="paragraph" w:styleId="Heading1">
    <w:name w:val="heading 1"/>
    <w:basedOn w:val="Normal"/>
    <w:next w:val="Normal"/>
    <w:link w:val="Heading1Char"/>
    <w:uiPriority w:val="9"/>
    <w:qFormat/>
    <w:rsid w:val="00EB2945"/>
    <w:pPr>
      <w:keepNext/>
      <w:spacing w:before="360"/>
      <w:outlineLvl w:val="0"/>
    </w:pPr>
    <w:rPr>
      <w:rFonts w:asciiTheme="majorHAnsi" w:eastAsiaTheme="majorEastAsia" w:hAnsiTheme="majorHAnsi" w:cstheme="majorBidi"/>
      <w:b/>
      <w:sz w:val="36"/>
      <w:szCs w:val="32"/>
      <w:lang w:eastAsia="en-US"/>
    </w:rPr>
  </w:style>
  <w:style w:type="paragraph" w:styleId="Heading2">
    <w:name w:val="heading 2"/>
    <w:basedOn w:val="Normal"/>
    <w:next w:val="Normal"/>
    <w:link w:val="Heading2Char"/>
    <w:uiPriority w:val="9"/>
    <w:unhideWhenUsed/>
    <w:qFormat/>
    <w:rsid w:val="00EB2945"/>
    <w:pPr>
      <w:keepNext/>
      <w:outlineLvl w:val="1"/>
    </w:pPr>
    <w:rPr>
      <w:rFonts w:asciiTheme="majorHAnsi" w:eastAsiaTheme="majorEastAsia" w:hAnsiTheme="majorHAnsi" w:cstheme="majorBidi"/>
      <w:b/>
      <w:sz w:val="32"/>
      <w:szCs w:val="26"/>
      <w:lang w:eastAsia="en-US"/>
    </w:rPr>
  </w:style>
  <w:style w:type="paragraph" w:styleId="Heading3">
    <w:name w:val="heading 3"/>
    <w:basedOn w:val="Normal"/>
    <w:next w:val="Normal"/>
    <w:link w:val="Heading3Char"/>
    <w:uiPriority w:val="9"/>
    <w:unhideWhenUsed/>
    <w:qFormat/>
    <w:rsid w:val="00EB2945"/>
    <w:pPr>
      <w:keepNext/>
      <w:spacing w:after="120"/>
      <w:outlineLvl w:val="2"/>
    </w:pPr>
    <w:rPr>
      <w:rFonts w:asciiTheme="majorHAnsi" w:eastAsiaTheme="majorEastAsia" w:hAnsiTheme="majorHAnsi" w:cstheme="majorBidi"/>
      <w:b/>
      <w:sz w:val="24"/>
      <w:szCs w:val="24"/>
      <w:lang w:eastAsia="en-US"/>
    </w:rPr>
  </w:style>
  <w:style w:type="paragraph" w:styleId="Heading4">
    <w:name w:val="heading 4"/>
    <w:basedOn w:val="Normal"/>
    <w:next w:val="Normal"/>
    <w:link w:val="Heading4Char"/>
    <w:uiPriority w:val="9"/>
    <w:unhideWhenUsed/>
    <w:qFormat/>
    <w:rsid w:val="00DF0A0C"/>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F0A0C"/>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F0A0C"/>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F0A0C"/>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F0A0C"/>
    <w:pPr>
      <w:keepNext/>
      <w:keepLines/>
      <w:spacing w:before="40" w:after="0"/>
      <w:outlineLvl w:val="7"/>
    </w:pPr>
    <w:rPr>
      <w:rFonts w:asciiTheme="majorHAnsi" w:eastAsiaTheme="majorEastAsia" w:hAnsiTheme="majorHAnsi" w:cstheme="majorBidi"/>
      <w:color w:val="155589"/>
      <w:sz w:val="21"/>
      <w:szCs w:val="21"/>
    </w:rPr>
  </w:style>
  <w:style w:type="paragraph" w:styleId="Heading9">
    <w:name w:val="heading 9"/>
    <w:basedOn w:val="Normal"/>
    <w:next w:val="Normal"/>
    <w:link w:val="Heading9Char"/>
    <w:uiPriority w:val="9"/>
    <w:unhideWhenUsed/>
    <w:qFormat/>
    <w:rsid w:val="00DF0A0C"/>
    <w:pPr>
      <w:keepNext/>
      <w:keepLines/>
      <w:spacing w:before="40" w:after="0"/>
      <w:outlineLvl w:val="8"/>
    </w:pPr>
    <w:rPr>
      <w:rFonts w:asciiTheme="majorHAnsi" w:eastAsiaTheme="majorEastAsia" w:hAnsiTheme="majorHAnsi" w:cstheme="majorBidi"/>
      <w:i/>
      <w:iCs/>
      <w:color w:val="1555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945"/>
    <w:rPr>
      <w:rFonts w:asciiTheme="majorHAnsi" w:eastAsiaTheme="majorEastAsia" w:hAnsiTheme="majorHAnsi" w:cstheme="majorBidi"/>
      <w:b/>
      <w:sz w:val="36"/>
      <w:szCs w:val="32"/>
      <w:lang w:eastAsia="en-US"/>
    </w:rPr>
  </w:style>
  <w:style w:type="character" w:customStyle="1" w:styleId="Heading2Char">
    <w:name w:val="Heading 2 Char"/>
    <w:basedOn w:val="DefaultParagraphFont"/>
    <w:link w:val="Heading2"/>
    <w:uiPriority w:val="9"/>
    <w:rsid w:val="00EB2945"/>
    <w:rPr>
      <w:rFonts w:asciiTheme="majorHAnsi" w:eastAsiaTheme="majorEastAsia" w:hAnsiTheme="majorHAnsi" w:cstheme="majorBidi"/>
      <w:b/>
      <w:sz w:val="32"/>
      <w:szCs w:val="26"/>
      <w:lang w:eastAsia="en-US"/>
    </w:rPr>
  </w:style>
  <w:style w:type="character" w:customStyle="1" w:styleId="Heading3Char">
    <w:name w:val="Heading 3 Char"/>
    <w:basedOn w:val="DefaultParagraphFont"/>
    <w:link w:val="Heading3"/>
    <w:uiPriority w:val="9"/>
    <w:rsid w:val="00EB2945"/>
    <w:rPr>
      <w:rFonts w:asciiTheme="majorHAnsi" w:eastAsiaTheme="majorEastAsia" w:hAnsiTheme="majorHAnsi" w:cstheme="majorBidi"/>
      <w:b/>
      <w:sz w:val="24"/>
      <w:szCs w:val="24"/>
      <w:lang w:eastAsia="en-US"/>
    </w:rPr>
  </w:style>
  <w:style w:type="character" w:styleId="Hyperlink">
    <w:name w:val="Hyperlink"/>
    <w:basedOn w:val="DefaultParagraphFont"/>
    <w:uiPriority w:val="99"/>
    <w:unhideWhenUsed/>
    <w:rsid w:val="00DF0A0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F0A0C"/>
    <w:pPr>
      <w:ind w:left="567"/>
    </w:pPr>
    <w:rPr>
      <w:rFonts w:eastAsiaTheme="minorHAnsi"/>
      <w:i/>
      <w:iCs/>
      <w:color w:val="155589"/>
      <w:lang w:eastAsia="en-US"/>
    </w:rPr>
  </w:style>
  <w:style w:type="character" w:customStyle="1" w:styleId="QuoteChar">
    <w:name w:val="Quote Char"/>
    <w:basedOn w:val="DefaultParagraphFont"/>
    <w:link w:val="Quote"/>
    <w:uiPriority w:val="29"/>
    <w:rsid w:val="00DF0A0C"/>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F0A0C"/>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F0A0C"/>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F0A0C"/>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F0A0C"/>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F0A0C"/>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F0A0C"/>
    <w:rPr>
      <w:rFonts w:asciiTheme="majorHAnsi" w:eastAsiaTheme="majorEastAsia" w:hAnsiTheme="majorHAnsi" w:cstheme="majorBidi"/>
      <w:color w:val="155589"/>
      <w:sz w:val="21"/>
      <w:szCs w:val="21"/>
    </w:rPr>
  </w:style>
  <w:style w:type="character" w:customStyle="1" w:styleId="Heading9Char">
    <w:name w:val="Heading 9 Char"/>
    <w:basedOn w:val="DefaultParagraphFont"/>
    <w:link w:val="Heading9"/>
    <w:uiPriority w:val="9"/>
    <w:rsid w:val="00DF0A0C"/>
    <w:rPr>
      <w:rFonts w:asciiTheme="majorHAnsi" w:eastAsiaTheme="majorEastAsia" w:hAnsiTheme="majorHAnsi" w:cstheme="majorBidi"/>
      <w:i/>
      <w:iCs/>
      <w:color w:val="155589"/>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styleId="ListParagraph">
    <w:name w:val="List Paragraph"/>
    <w:basedOn w:val="Normal"/>
    <w:uiPriority w:val="34"/>
    <w:qFormat/>
    <w:rsid w:val="00E6155F"/>
    <w:pPr>
      <w:numPr>
        <w:numId w:val="3"/>
      </w:numPr>
      <w:ind w:left="567" w:hanging="567"/>
      <w:contextualSpacing/>
    </w:pPr>
  </w:style>
  <w:style w:type="paragraph" w:customStyle="1" w:styleId="Sourcenote">
    <w:name w:val="Source / note"/>
    <w:basedOn w:val="Normal"/>
    <w:qFormat/>
    <w:rsid w:val="00E6155F"/>
    <w:pPr>
      <w:spacing w:after="160" w:line="256" w:lineRule="auto"/>
    </w:pPr>
    <w:rPr>
      <w:sz w:val="20"/>
    </w:rPr>
  </w:style>
  <w:style w:type="paragraph" w:styleId="FootnoteText">
    <w:name w:val="footnote text"/>
    <w:basedOn w:val="Normal"/>
    <w:link w:val="FootnoteTextChar"/>
    <w:uiPriority w:val="99"/>
    <w:semiHidden/>
    <w:unhideWhenUsed/>
    <w:rsid w:val="007E0AE5"/>
    <w:pPr>
      <w:spacing w:after="0"/>
    </w:pPr>
    <w:rPr>
      <w:sz w:val="20"/>
      <w:szCs w:val="20"/>
    </w:rPr>
  </w:style>
  <w:style w:type="character" w:customStyle="1" w:styleId="FootnoteTextChar">
    <w:name w:val="Footnote Text Char"/>
    <w:basedOn w:val="DefaultParagraphFont"/>
    <w:link w:val="FootnoteText"/>
    <w:uiPriority w:val="99"/>
    <w:semiHidden/>
    <w:rsid w:val="007E0AE5"/>
    <w:rPr>
      <w:sz w:val="20"/>
      <w:szCs w:val="20"/>
    </w:rPr>
  </w:style>
  <w:style w:type="character" w:styleId="FootnoteReference">
    <w:name w:val="footnote reference"/>
    <w:basedOn w:val="DefaultParagraphFont"/>
    <w:uiPriority w:val="99"/>
    <w:semiHidden/>
    <w:unhideWhenUsed/>
    <w:rsid w:val="007E0AE5"/>
    <w:rPr>
      <w:vertAlign w:val="superscript"/>
    </w:rPr>
  </w:style>
  <w:style w:type="character" w:customStyle="1" w:styleId="superscriptfootnotereference">
    <w:name w:val="superscript footnote reference"/>
    <w:basedOn w:val="FootnoteReference"/>
    <w:uiPriority w:val="1"/>
    <w:qFormat/>
    <w:rsid w:val="007E0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7398">
      <w:bodyDiv w:val="1"/>
      <w:marLeft w:val="0"/>
      <w:marRight w:val="0"/>
      <w:marTop w:val="0"/>
      <w:marBottom w:val="0"/>
      <w:divBdr>
        <w:top w:val="none" w:sz="0" w:space="0" w:color="auto"/>
        <w:left w:val="none" w:sz="0" w:space="0" w:color="auto"/>
        <w:bottom w:val="none" w:sz="0" w:space="0" w:color="auto"/>
        <w:right w:val="none" w:sz="0" w:space="0" w:color="auto"/>
      </w:divBdr>
    </w:div>
    <w:div w:id="726413547">
      <w:bodyDiv w:val="1"/>
      <w:marLeft w:val="0"/>
      <w:marRight w:val="0"/>
      <w:marTop w:val="0"/>
      <w:marBottom w:val="0"/>
      <w:divBdr>
        <w:top w:val="none" w:sz="0" w:space="0" w:color="auto"/>
        <w:left w:val="none" w:sz="0" w:space="0" w:color="auto"/>
        <w:bottom w:val="none" w:sz="0" w:space="0" w:color="auto"/>
        <w:right w:val="none" w:sz="0" w:space="0" w:color="auto"/>
      </w:divBdr>
    </w:div>
    <w:div w:id="1638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landscape%20-%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6E7F69882C34493BD61814B3C0A50" ma:contentTypeVersion="0" ma:contentTypeDescription="Create a new document." ma:contentTypeScope="" ma:versionID="9abd5f6a990f64a19862d139aa2f56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2DA40-1A4B-4401-88D3-B0B5214A2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54B33E-E134-4521-9145-E7AF5115C2A2}">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2493F44-A427-47D0-B563-F2B8880FAD2F}">
  <ds:schemaRefs>
    <ds:schemaRef ds:uri="http://schemas.microsoft.com/sharepoint/v3/contenttype/forms"/>
  </ds:schemaRefs>
</ds:datastoreItem>
</file>

<file path=customXml/itemProps4.xml><?xml version="1.0" encoding="utf-8"?>
<ds:datastoreItem xmlns:ds="http://schemas.openxmlformats.org/officeDocument/2006/customXml" ds:itemID="{8F8782C1-9320-4BCF-A56B-F05736F1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landscape - template.dotx</Template>
  <TotalTime>0</TotalTime>
  <Pages>2</Pages>
  <Words>341</Words>
  <Characters>2144</Characters>
  <Application>Microsoft Office Word</Application>
  <DocSecurity>0</DocSecurity>
  <Lines>71</Lines>
  <Paragraphs>55</Paragraphs>
  <ScaleCrop>false</ScaleCrop>
  <HeadingPairs>
    <vt:vector size="2" baseType="variant">
      <vt:variant>
        <vt:lpstr>Title</vt:lpstr>
      </vt:variant>
      <vt:variant>
        <vt:i4>1</vt:i4>
      </vt:variant>
    </vt:vector>
  </HeadingPairs>
  <TitlesOfParts>
    <vt:vector size="1" baseType="lpstr">
      <vt:lpstr>Indigenous Visual Arts Industry Support funding recipients 2014–15—March 2015</vt:lpstr>
    </vt:vector>
  </TitlesOfParts>
  <Company>Department of Communications and the Arts</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funding recipients 2014–15—March 2015</dc:title>
  <dc:subject/>
  <dc:creator>Department of Communications and the Arts</dc:creator>
  <cp:keywords/>
  <dc:description>May 2018</dc:description>
  <cp:lastModifiedBy>Department of Communications and the Arts</cp:lastModifiedBy>
  <cp:revision>2</cp:revision>
  <dcterms:created xsi:type="dcterms:W3CDTF">2018-07-11T07:24:00Z</dcterms:created>
  <dcterms:modified xsi:type="dcterms:W3CDTF">2018-07-11T07:24:00Z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0x0101003D36E7F69882C34493BD61814B3C0A50</vt:lpwstr>
  </property>
  <property fmtid="{D5CDD505-2E9C-101B-9397-08002B2CF9AE}" pid="3" name="TrimRevisionNumber">
    <vt:i4>5</vt:i4>
  </property>
</Properties>
</file>