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45" w:rsidRDefault="008103F8" w:rsidP="008103F8">
      <w:pPr>
        <w:spacing w:after="0"/>
        <w:ind w:left="-1418"/>
        <w:sectPr w:rsidR="00133A45" w:rsidSect="00C80A83">
          <w:footerReference w:type="default" r:id="rId8"/>
          <w:footerReference w:type="first" r:id="rId9"/>
          <w:pgSz w:w="11906" w:h="16838"/>
          <w:pgMar w:top="0" w:right="991" w:bottom="1276" w:left="1440" w:header="0" w:footer="0" w:gutter="0"/>
          <w:cols w:space="708"/>
          <w:titlePg/>
          <w:docGrid w:linePitch="360"/>
        </w:sectPr>
      </w:pPr>
      <w:r>
        <w:rPr>
          <w:noProof/>
          <w:lang w:eastAsia="en-AU"/>
        </w:rPr>
        <w:drawing>
          <wp:inline distT="0" distB="0" distL="0" distR="0" wp14:anchorId="63ABC848" wp14:editId="57E3A5DD">
            <wp:extent cx="7608087" cy="1956021"/>
            <wp:effectExtent l="0" t="0" r="0" b="6350"/>
            <wp:docPr id="1" name="Picture 1" descr="Logo: Australian Government, Department of Infrastructure, Transport, Regional Development and Communications.&#10;&#10;Office for the Arts.&#10;&#10;www.arts.gov.au&#10;www.infrastructure.gov.au&#10;www.communications.gov.a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38659" cy="1963881"/>
                    </a:xfrm>
                    <a:prstGeom prst="rect">
                      <a:avLst/>
                    </a:prstGeom>
                  </pic:spPr>
                </pic:pic>
              </a:graphicData>
            </a:graphic>
          </wp:inline>
        </w:drawing>
      </w:r>
    </w:p>
    <w:p w:rsidR="00772C27" w:rsidRDefault="008103F8" w:rsidP="00C80A83">
      <w:pPr>
        <w:shd w:val="clear" w:color="auto" w:fill="FFFFFF" w:themeFill="background1"/>
        <w:spacing w:after="480"/>
        <w:rPr>
          <w:rFonts w:ascii="Segoe UI Semibold" w:hAnsi="Segoe UI Semibold" w:cs="Segoe UI Semibold"/>
          <w:color w:val="242852"/>
        </w:rPr>
      </w:pPr>
      <w:r w:rsidRPr="008103F8">
        <w:rPr>
          <w:rFonts w:ascii="Segoe UI Semibold" w:hAnsi="Segoe UI Semibold" w:cs="Segoe UI Semibold"/>
          <w:color w:val="242852"/>
        </w:rPr>
        <w:t>November 2020</w:t>
      </w:r>
    </w:p>
    <w:p w:rsidR="00843EE7" w:rsidRPr="003956E7" w:rsidRDefault="00843EE7" w:rsidP="003956E7">
      <w:pPr>
        <w:pStyle w:val="Heading1"/>
      </w:pPr>
      <w:r w:rsidRPr="003956E7">
        <w:t>Roadmap for reactivating live performance venues and events</w:t>
      </w:r>
    </w:p>
    <w:p w:rsidR="00843EE7" w:rsidRPr="00E36B31" w:rsidRDefault="00843EE7" w:rsidP="003956E7">
      <w:pPr>
        <w:rPr>
          <w:rFonts w:cs="Segoe UI"/>
          <w:bCs/>
          <w:szCs w:val="21"/>
        </w:rPr>
      </w:pPr>
      <w:r w:rsidRPr="00E36B31">
        <w:rPr>
          <w:rFonts w:cs="Segoe UI"/>
          <w:bCs/>
          <w:szCs w:val="21"/>
        </w:rPr>
        <w:t xml:space="preserve">All steps are aligned with the </w:t>
      </w:r>
      <w:hyperlink r:id="rId11" w:history="1">
        <w:r w:rsidRPr="00E36B31">
          <w:rPr>
            <w:rFonts w:cs="Segoe UI"/>
            <w:bCs/>
            <w:color w:val="0000FF"/>
            <w:szCs w:val="21"/>
            <w:u w:val="single"/>
          </w:rPr>
          <w:t>Framework for National Reopening</w:t>
        </w:r>
        <w:r w:rsidRPr="00E36B31">
          <w:rPr>
            <w:rFonts w:cs="Segoe UI"/>
            <w:bCs/>
            <w:szCs w:val="21"/>
          </w:rPr>
          <w:t xml:space="preserve"> </w:t>
        </w:r>
      </w:hyperlink>
      <w:r w:rsidRPr="00E36B31">
        <w:rPr>
          <w:rFonts w:cs="Segoe UI"/>
          <w:bCs/>
          <w:szCs w:val="21"/>
        </w:rPr>
        <w:t>(</w:t>
      </w:r>
      <w:r w:rsidR="00C0417C">
        <w:rPr>
          <w:rFonts w:cs="Segoe UI"/>
          <w:bCs/>
          <w:szCs w:val="21"/>
        </w:rPr>
        <w:t>November</w:t>
      </w:r>
      <w:r w:rsidR="00C0417C" w:rsidRPr="00E36B31">
        <w:rPr>
          <w:rFonts w:cs="Segoe UI"/>
          <w:bCs/>
          <w:szCs w:val="21"/>
        </w:rPr>
        <w:t xml:space="preserve"> </w:t>
      </w:r>
      <w:r w:rsidRPr="00E36B31">
        <w:rPr>
          <w:rFonts w:cs="Segoe UI"/>
          <w:bCs/>
          <w:szCs w:val="21"/>
        </w:rPr>
        <w:t xml:space="preserve">2020) and the </w:t>
      </w:r>
      <w:hyperlink r:id="rId12" w:history="1">
        <w:r w:rsidRPr="00E36B31">
          <w:rPr>
            <w:rFonts w:cs="Segoe UI"/>
            <w:bCs/>
            <w:color w:val="0000FF"/>
            <w:szCs w:val="21"/>
            <w:u w:val="single"/>
          </w:rPr>
          <w:t>Common Operating Picture</w:t>
        </w:r>
        <w:r w:rsidRPr="00E36B31">
          <w:rPr>
            <w:rFonts w:cs="Segoe UI"/>
            <w:bCs/>
            <w:color w:val="0000FF"/>
            <w:szCs w:val="21"/>
          </w:rPr>
          <w:t xml:space="preserve"> </w:t>
        </w:r>
      </w:hyperlink>
      <w:r w:rsidRPr="00E36B31">
        <w:rPr>
          <w:rFonts w:cs="Segoe UI"/>
          <w:bCs/>
          <w:szCs w:val="21"/>
        </w:rPr>
        <w:t>(COP), and are subject to expert health advice. Progression through steps requires alignment with the National Principles for Reactivating Live Performance Venues and Events and ensuring that prerequisite health conditions have been met.</w:t>
      </w:r>
    </w:p>
    <w:p w:rsidR="00843EE7" w:rsidRPr="00E36B31" w:rsidRDefault="00843EE7" w:rsidP="003956E7">
      <w:pPr>
        <w:rPr>
          <w:rFonts w:cs="Segoe UI"/>
          <w:bCs/>
          <w:szCs w:val="21"/>
        </w:rPr>
      </w:pPr>
      <w:r w:rsidRPr="00E36B31">
        <w:rPr>
          <w:rFonts w:cs="Segoe UI"/>
          <w:bCs/>
          <w:szCs w:val="21"/>
        </w:rPr>
        <w:t>States and territories have the decision-making authority in relation to public health measures. State and territory authorities determine the size of events that may be held and requirements for COVID event plans. All venues are required to have COVIDSafe plans. Tailored approaches will be needed for different activities, events and venues.</w:t>
      </w:r>
    </w:p>
    <w:p w:rsidR="00843EE7" w:rsidRPr="00E36B31" w:rsidRDefault="00843EE7" w:rsidP="003956E7">
      <w:pPr>
        <w:rPr>
          <w:rFonts w:cs="Segoe UI"/>
          <w:bCs/>
          <w:szCs w:val="21"/>
        </w:rPr>
      </w:pPr>
      <w:r w:rsidRPr="00E36B31">
        <w:rPr>
          <w:rFonts w:cs="Segoe UI"/>
          <w:bCs/>
          <w:szCs w:val="21"/>
        </w:rPr>
        <w:t>This Roadmap constitutes a guide. Each event requires an individual risk assessment. Decisions should take into consideration local epidemiology and risk factors associated with each event, including characteristics of the venue, expected interactions among participants, the activities being undertaken and duration of the event.</w:t>
      </w:r>
    </w:p>
    <w:p w:rsidR="00843EE7" w:rsidRPr="00E36B31" w:rsidRDefault="00843EE7" w:rsidP="003956E7">
      <w:pPr>
        <w:rPr>
          <w:rFonts w:cs="Segoe UI"/>
          <w:bCs/>
          <w:szCs w:val="21"/>
        </w:rPr>
      </w:pPr>
      <w:r w:rsidRPr="00E36B31">
        <w:rPr>
          <w:rFonts w:cs="Segoe UI"/>
          <w:bCs/>
          <w:szCs w:val="21"/>
        </w:rPr>
        <w:t xml:space="preserve">Higher risk activities as identified in the Australian Health Protection Principal Committee (AHPPC) </w:t>
      </w:r>
      <w:hyperlink r:id="rId13" w:history="1">
        <w:r w:rsidRPr="00E36B31">
          <w:rPr>
            <w:rFonts w:cs="Segoe UI"/>
            <w:bCs/>
            <w:color w:val="0000FF"/>
            <w:szCs w:val="21"/>
            <w:u w:val="single"/>
          </w:rPr>
          <w:t>statement on very high risk social environments</w:t>
        </w:r>
        <w:r w:rsidRPr="00E36B31">
          <w:rPr>
            <w:rFonts w:cs="Segoe UI"/>
            <w:bCs/>
            <w:color w:val="0000FF"/>
            <w:szCs w:val="21"/>
          </w:rPr>
          <w:t xml:space="preserve"> </w:t>
        </w:r>
      </w:hyperlink>
      <w:r w:rsidRPr="00E36B31">
        <w:rPr>
          <w:rFonts w:cs="Segoe UI"/>
          <w:bCs/>
          <w:szCs w:val="21"/>
        </w:rPr>
        <w:t>may be restricted. When planning for events in very high risk settings, organisers and venue managers should check with the state or territory industry or health website for requirements (</w:t>
      </w:r>
      <w:hyperlink r:id="rId14" w:history="1">
        <w:r w:rsidRPr="00E36B31">
          <w:rPr>
            <w:rFonts w:cs="Segoe UI"/>
            <w:bCs/>
            <w:color w:val="0000FF"/>
            <w:szCs w:val="21"/>
            <w:u w:val="single"/>
          </w:rPr>
          <w:t>www.healthdirect.gov.au/covid19-restriction-checker</w:t>
        </w:r>
        <w:r w:rsidRPr="00E36B31">
          <w:rPr>
            <w:rFonts w:cs="Segoe UI"/>
            <w:bCs/>
            <w:szCs w:val="21"/>
          </w:rPr>
          <w:t xml:space="preserve">). </w:t>
        </w:r>
      </w:hyperlink>
      <w:r w:rsidRPr="00E36B31">
        <w:rPr>
          <w:rFonts w:cs="Segoe UI"/>
          <w:bCs/>
          <w:szCs w:val="21"/>
        </w:rPr>
        <w:t>Lower risk events (e.g. outdoor seated events) may resume earlier, subject to restrictions set by</w:t>
      </w:r>
      <w:r w:rsidRPr="00E36B31">
        <w:rPr>
          <w:rFonts w:cs="Segoe UI"/>
          <w:bCs/>
          <w:spacing w:val="3"/>
          <w:szCs w:val="21"/>
        </w:rPr>
        <w:t xml:space="preserve"> </w:t>
      </w:r>
      <w:r w:rsidRPr="00E36B31">
        <w:rPr>
          <w:rFonts w:cs="Segoe UI"/>
          <w:bCs/>
          <w:szCs w:val="21"/>
        </w:rPr>
        <w:t>jurisdictions.</w:t>
      </w:r>
    </w:p>
    <w:p w:rsidR="00843EE7" w:rsidRPr="00C0417C" w:rsidRDefault="00843EE7" w:rsidP="003956E7">
      <w:pPr>
        <w:rPr>
          <w:szCs w:val="21"/>
        </w:rPr>
      </w:pPr>
      <w:r w:rsidRPr="00610574">
        <w:rPr>
          <w:szCs w:val="21"/>
        </w:rPr>
        <w:t xml:space="preserve">Risk mitigation: The ability to operate with relaxed restrictions will depend on the ability for event organisers and venue operators to implement appropriate or enhanced prevention and control measures to further reduce inherent risk associated with the event. Jurisdictions may require additional controls to ensure risk management is adequate. For example, enhanced </w:t>
      </w:r>
      <w:r w:rsidRPr="00C0417C">
        <w:rPr>
          <w:szCs w:val="21"/>
        </w:rPr>
        <w:t>measures could include a requirement for lower capacity or wearing masks for patrons, the creation of separate zones or no alcohol  areas in the event</w:t>
      </w:r>
      <w:r w:rsidRPr="00C0417C">
        <w:rPr>
          <w:spacing w:val="12"/>
          <w:szCs w:val="21"/>
        </w:rPr>
        <w:t xml:space="preserve"> </w:t>
      </w:r>
      <w:r w:rsidRPr="00C0417C">
        <w:rPr>
          <w:szCs w:val="21"/>
        </w:rPr>
        <w:t>space.</w:t>
      </w:r>
    </w:p>
    <w:p w:rsidR="00843EE7" w:rsidRPr="00E36B31" w:rsidRDefault="00843EE7" w:rsidP="003956E7">
      <w:pPr>
        <w:pBdr>
          <w:top w:val="single" w:sz="18" w:space="1" w:color="auto"/>
          <w:left w:val="single" w:sz="18" w:space="4" w:color="auto"/>
          <w:bottom w:val="single" w:sz="18" w:space="1" w:color="auto"/>
          <w:right w:val="single" w:sz="18" w:space="4" w:color="auto"/>
        </w:pBdr>
        <w:rPr>
          <w:szCs w:val="21"/>
        </w:rPr>
      </w:pPr>
      <w:r w:rsidRPr="00C0417C">
        <w:rPr>
          <w:position w:val="1"/>
          <w:szCs w:val="21"/>
        </w:rPr>
        <w:t>FOR ALL STEPS: Physical distancing</w:t>
      </w:r>
      <w:r w:rsidRPr="00C0417C">
        <w:rPr>
          <w:spacing w:val="-27"/>
          <w:position w:val="1"/>
          <w:szCs w:val="21"/>
        </w:rPr>
        <w:t xml:space="preserve"> </w:t>
      </w:r>
      <w:r w:rsidRPr="00C0417C">
        <w:rPr>
          <w:position w:val="1"/>
          <w:szCs w:val="21"/>
        </w:rPr>
        <w:t>at</w:t>
      </w:r>
      <w:r w:rsidRPr="00C0417C">
        <w:rPr>
          <w:spacing w:val="-6"/>
          <w:position w:val="1"/>
          <w:szCs w:val="21"/>
        </w:rPr>
        <w:t xml:space="preserve"> </w:t>
      </w:r>
      <w:r w:rsidRPr="00C0417C">
        <w:rPr>
          <w:position w:val="1"/>
          <w:szCs w:val="21"/>
        </w:rPr>
        <w:t>1.5m  |  Stay at home</w:t>
      </w:r>
      <w:r w:rsidRPr="00C0417C">
        <w:rPr>
          <w:spacing w:val="-11"/>
          <w:position w:val="1"/>
          <w:szCs w:val="21"/>
        </w:rPr>
        <w:t xml:space="preserve"> </w:t>
      </w:r>
      <w:r w:rsidRPr="00C0417C">
        <w:rPr>
          <w:position w:val="1"/>
          <w:szCs w:val="21"/>
        </w:rPr>
        <w:t>if</w:t>
      </w:r>
      <w:r w:rsidRPr="00C0417C">
        <w:rPr>
          <w:spacing w:val="-4"/>
          <w:position w:val="1"/>
          <w:szCs w:val="21"/>
        </w:rPr>
        <w:t xml:space="preserve"> </w:t>
      </w:r>
      <w:r w:rsidRPr="00C0417C">
        <w:rPr>
          <w:position w:val="1"/>
          <w:szCs w:val="21"/>
        </w:rPr>
        <w:t xml:space="preserve">unwell  |  </w:t>
      </w:r>
      <w:r w:rsidRPr="00C0417C">
        <w:rPr>
          <w:szCs w:val="21"/>
        </w:rPr>
        <w:t>Effective testing and</w:t>
      </w:r>
      <w:r w:rsidRPr="00C0417C">
        <w:rPr>
          <w:spacing w:val="-19"/>
          <w:szCs w:val="21"/>
        </w:rPr>
        <w:t xml:space="preserve"> </w:t>
      </w:r>
      <w:r w:rsidRPr="00C0417C">
        <w:rPr>
          <w:szCs w:val="21"/>
        </w:rPr>
        <w:t>contact</w:t>
      </w:r>
      <w:r w:rsidRPr="00C0417C">
        <w:rPr>
          <w:spacing w:val="-6"/>
          <w:szCs w:val="21"/>
        </w:rPr>
        <w:t xml:space="preserve"> </w:t>
      </w:r>
      <w:r w:rsidRPr="00E36B31">
        <w:rPr>
          <w:szCs w:val="21"/>
        </w:rPr>
        <w:t>tracing  |  Frequent cleaning</w:t>
      </w:r>
      <w:r w:rsidRPr="00E36B31">
        <w:rPr>
          <w:spacing w:val="-14"/>
          <w:szCs w:val="21"/>
        </w:rPr>
        <w:t xml:space="preserve"> </w:t>
      </w:r>
      <w:r w:rsidRPr="00E36B31">
        <w:rPr>
          <w:szCs w:val="21"/>
        </w:rPr>
        <w:t>and</w:t>
      </w:r>
      <w:r w:rsidRPr="00E36B31">
        <w:rPr>
          <w:spacing w:val="-6"/>
          <w:szCs w:val="21"/>
        </w:rPr>
        <w:t xml:space="preserve"> </w:t>
      </w:r>
      <w:r w:rsidRPr="00E36B31">
        <w:rPr>
          <w:szCs w:val="21"/>
        </w:rPr>
        <w:t>disinfection  |  Communications  |  COVIDSafe</w:t>
      </w:r>
      <w:r w:rsidRPr="00E36B31">
        <w:rPr>
          <w:spacing w:val="-5"/>
          <w:szCs w:val="21"/>
        </w:rPr>
        <w:t xml:space="preserve"> </w:t>
      </w:r>
      <w:r w:rsidRPr="00E36B31">
        <w:rPr>
          <w:szCs w:val="21"/>
        </w:rPr>
        <w:t>plan  |  Safe work</w:t>
      </w:r>
      <w:r w:rsidRPr="00E36B31">
        <w:rPr>
          <w:spacing w:val="-6"/>
          <w:szCs w:val="21"/>
        </w:rPr>
        <w:t xml:space="preserve"> </w:t>
      </w:r>
      <w:r w:rsidRPr="00E36B31">
        <w:rPr>
          <w:szCs w:val="21"/>
        </w:rPr>
        <w:t>practices</w:t>
      </w:r>
      <w:r w:rsidR="001F0215">
        <w:rPr>
          <w:szCs w:val="21"/>
        </w:rPr>
        <w:t>.</w:t>
      </w:r>
    </w:p>
    <w:p w:rsidR="00843EE7" w:rsidRPr="00C0417C" w:rsidRDefault="00843EE7" w:rsidP="003956E7">
      <w:pPr>
        <w:pBdr>
          <w:top w:val="single" w:sz="18" w:space="1" w:color="auto"/>
          <w:left w:val="single" w:sz="18" w:space="4" w:color="auto"/>
          <w:bottom w:val="single" w:sz="18" w:space="1" w:color="auto"/>
          <w:right w:val="single" w:sz="18" w:space="4" w:color="auto"/>
        </w:pBdr>
        <w:rPr>
          <w:spacing w:val="-3"/>
          <w:w w:val="105"/>
          <w:szCs w:val="21"/>
        </w:rPr>
      </w:pPr>
      <w:r w:rsidRPr="00E36B31">
        <w:rPr>
          <w:szCs w:val="21"/>
        </w:rPr>
        <w:lastRenderedPageBreak/>
        <w:t>All steps are aligned with the Framework for National Reopening:</w:t>
      </w:r>
      <w:r w:rsidRPr="00610574">
        <w:rPr>
          <w:szCs w:val="21"/>
        </w:rPr>
        <w:t xml:space="preserve"> </w:t>
      </w:r>
      <w:r w:rsidRPr="00610574">
        <w:rPr>
          <w:w w:val="105"/>
          <w:szCs w:val="21"/>
        </w:rPr>
        <w:t>3 Step Plan to Sustain a COVID Normal</w:t>
      </w:r>
      <w:r w:rsidRPr="00C0417C">
        <w:rPr>
          <w:spacing w:val="-12"/>
          <w:w w:val="105"/>
          <w:szCs w:val="21"/>
        </w:rPr>
        <w:t xml:space="preserve"> </w:t>
      </w:r>
      <w:r w:rsidRPr="00C0417C">
        <w:rPr>
          <w:spacing w:val="-3"/>
          <w:w w:val="105"/>
          <w:szCs w:val="21"/>
        </w:rPr>
        <w:t>Australia*</w:t>
      </w:r>
      <w:r w:rsidR="001F0215">
        <w:rPr>
          <w:spacing w:val="-3"/>
          <w:w w:val="105"/>
          <w:szCs w:val="21"/>
        </w:rPr>
        <w:t>.</w:t>
      </w:r>
    </w:p>
    <w:p w:rsidR="00843EE7" w:rsidRPr="00C0417C" w:rsidRDefault="003956E7" w:rsidP="003956E7">
      <w:pPr>
        <w:pBdr>
          <w:top w:val="single" w:sz="18" w:space="1" w:color="auto"/>
          <w:left w:val="single" w:sz="18" w:space="4" w:color="auto"/>
          <w:bottom w:val="single" w:sz="18" w:space="1" w:color="auto"/>
          <w:right w:val="single" w:sz="18" w:space="4" w:color="auto"/>
        </w:pBdr>
        <w:rPr>
          <w:szCs w:val="21"/>
        </w:rPr>
      </w:pPr>
      <w:r w:rsidRPr="00C0417C">
        <w:rPr>
          <w:szCs w:val="21"/>
        </w:rPr>
        <w:t>A</w:t>
      </w:r>
      <w:r w:rsidR="00843EE7" w:rsidRPr="00C0417C">
        <w:rPr>
          <w:szCs w:val="21"/>
        </w:rPr>
        <w:t xml:space="preserve">ll steps involve auditing </w:t>
      </w:r>
      <w:proofErr w:type="spellStart"/>
      <w:r w:rsidR="00843EE7" w:rsidRPr="00C0417C">
        <w:rPr>
          <w:szCs w:val="21"/>
        </w:rPr>
        <w:t>COVIDSafe</w:t>
      </w:r>
      <w:proofErr w:type="spellEnd"/>
      <w:r w:rsidR="00843EE7" w:rsidRPr="00C0417C">
        <w:rPr>
          <w:szCs w:val="21"/>
        </w:rPr>
        <w:t xml:space="preserve"> plans and adherence</w:t>
      </w:r>
      <w:r w:rsidR="001F0215">
        <w:rPr>
          <w:szCs w:val="21"/>
        </w:rPr>
        <w:t>.</w:t>
      </w:r>
    </w:p>
    <w:p w:rsidR="00843EE7" w:rsidRPr="003956E7" w:rsidRDefault="00843EE7" w:rsidP="001F0215">
      <w:pPr>
        <w:pStyle w:val="Heading2"/>
      </w:pPr>
      <w:r w:rsidRPr="003956E7">
        <w:t>Step 1</w:t>
      </w:r>
      <w:r w:rsidR="003956E7" w:rsidRPr="003956E7">
        <w:t>—</w:t>
      </w:r>
      <w:r w:rsidRPr="003956E7">
        <w:t>Limiting Group Interactions and Activities</w:t>
      </w:r>
    </w:p>
    <w:p w:rsidR="00843EE7" w:rsidRPr="001F0215" w:rsidRDefault="00843EE7" w:rsidP="00843EE7">
      <w:pPr>
        <w:spacing w:before="103"/>
        <w:rPr>
          <w:rFonts w:cstheme="minorHAnsi"/>
          <w:bCs/>
          <w:u w:val="single"/>
        </w:rPr>
      </w:pPr>
      <w:r>
        <w:t xml:space="preserve">Public Health Indicator: New locally acquired cases indicator on the </w:t>
      </w:r>
      <w:r w:rsidR="001F0215">
        <w:t>COP is green for 14 days AND &lt;3 </w:t>
      </w:r>
      <w:r>
        <w:t>cases in either high transmission settings or hard to reach populations (</w:t>
      </w:r>
      <w:r>
        <w:rPr>
          <w:rFonts w:cstheme="minorHAnsi"/>
          <w:iCs/>
          <w:w w:val="105"/>
        </w:rPr>
        <w:t>r</w:t>
      </w:r>
      <w:r w:rsidRPr="00846173">
        <w:rPr>
          <w:rFonts w:cstheme="minorHAnsi"/>
          <w:iCs/>
          <w:w w:val="105"/>
        </w:rPr>
        <w:t xml:space="preserve">efer to the </w:t>
      </w:r>
      <w:hyperlink r:id="rId15" w:history="1">
        <w:r w:rsidRPr="00C0417C">
          <w:rPr>
            <w:rStyle w:val="Hyperlink"/>
            <w:rFonts w:cstheme="minorHAnsi"/>
            <w:bCs/>
          </w:rPr>
          <w:t>Framework for National Reopening</w:t>
        </w:r>
      </w:hyperlink>
      <w:r w:rsidRPr="00846173">
        <w:rPr>
          <w:rFonts w:cstheme="minorHAnsi"/>
          <w:bCs/>
          <w:color w:val="2F63A2"/>
        </w:rPr>
        <w:t xml:space="preserve"> </w:t>
      </w:r>
      <w:r w:rsidRPr="00846173">
        <w:rPr>
          <w:rFonts w:cstheme="minorHAnsi"/>
          <w:color w:val="292829"/>
        </w:rPr>
        <w:t xml:space="preserve">and </w:t>
      </w:r>
      <w:hyperlink r:id="rId16" w:history="1">
        <w:r w:rsidRPr="00C0417C">
          <w:rPr>
            <w:rStyle w:val="Hyperlink"/>
            <w:rFonts w:cstheme="minorHAnsi"/>
            <w:bCs/>
          </w:rPr>
          <w:t>Common Operating Picture</w:t>
        </w:r>
      </w:hyperlink>
      <w:r w:rsidRPr="00E36B31">
        <w:rPr>
          <w:rFonts w:cstheme="minorHAnsi"/>
          <w:bCs/>
        </w:rPr>
        <w:t>)</w:t>
      </w:r>
    </w:p>
    <w:p w:rsidR="00843EE7" w:rsidRPr="003956E7" w:rsidRDefault="00843EE7" w:rsidP="001F0215">
      <w:pPr>
        <w:pStyle w:val="Heading3"/>
      </w:pPr>
      <w:r w:rsidRPr="003956E7">
        <w:t>Step 1</w:t>
      </w:r>
      <w:r w:rsidR="003956E7" w:rsidRPr="003956E7">
        <w:t>—</w:t>
      </w:r>
      <w:r w:rsidRPr="003956E7">
        <w:t>Outdoor Live Performance Venues</w:t>
      </w:r>
    </w:p>
    <w:p w:rsidR="00843EE7" w:rsidRPr="001A06A6" w:rsidRDefault="00843EE7" w:rsidP="003956E7">
      <w:pPr>
        <w:pStyle w:val="Listparagraphbullets"/>
        <w:rPr>
          <w:w w:val="105"/>
        </w:rPr>
      </w:pPr>
      <w:r w:rsidRPr="001A06A6">
        <w:rPr>
          <w:w w:val="105"/>
        </w:rPr>
        <w:t>Venues closed to the</w:t>
      </w:r>
      <w:r w:rsidRPr="001A06A6">
        <w:rPr>
          <w:spacing w:val="-6"/>
          <w:w w:val="105"/>
        </w:rPr>
        <w:t xml:space="preserve"> </w:t>
      </w:r>
      <w:r w:rsidRPr="001A06A6">
        <w:rPr>
          <w:w w:val="105"/>
        </w:rPr>
        <w:t>public</w:t>
      </w:r>
    </w:p>
    <w:p w:rsidR="00843EE7" w:rsidRPr="001A06A6" w:rsidRDefault="00843EE7" w:rsidP="003956E7">
      <w:pPr>
        <w:pStyle w:val="Listparagraphbullets"/>
        <w:rPr>
          <w:spacing w:val="-2"/>
          <w:w w:val="105"/>
        </w:rPr>
      </w:pPr>
      <w:r w:rsidRPr="001A06A6">
        <w:rPr>
          <w:w w:val="105"/>
        </w:rPr>
        <w:t>Live streaming and broadcasting permitted, subject to gathering restriction set by</w:t>
      </w:r>
      <w:r w:rsidRPr="001A06A6">
        <w:rPr>
          <w:spacing w:val="-24"/>
          <w:w w:val="105"/>
        </w:rPr>
        <w:t xml:space="preserve"> </w:t>
      </w:r>
      <w:r w:rsidRPr="001A06A6">
        <w:rPr>
          <w:spacing w:val="-2"/>
          <w:w w:val="105"/>
        </w:rPr>
        <w:t>jurisdictions</w:t>
      </w:r>
    </w:p>
    <w:p w:rsidR="00843EE7" w:rsidRPr="005635C9" w:rsidRDefault="00843EE7" w:rsidP="003956E7">
      <w:pPr>
        <w:pStyle w:val="Listparagraphbullets"/>
        <w:rPr>
          <w:w w:val="105"/>
        </w:rPr>
      </w:pPr>
      <w:r w:rsidRPr="001A06A6">
        <w:rPr>
          <w:w w:val="105"/>
        </w:rPr>
        <w:t>Staff</w:t>
      </w:r>
      <w:r w:rsidRPr="001A06A6">
        <w:rPr>
          <w:spacing w:val="-9"/>
          <w:w w:val="105"/>
        </w:rPr>
        <w:t xml:space="preserve"> </w:t>
      </w:r>
      <w:r w:rsidRPr="001A06A6">
        <w:rPr>
          <w:w w:val="105"/>
        </w:rPr>
        <w:t>and</w:t>
      </w:r>
      <w:r w:rsidRPr="001A06A6">
        <w:rPr>
          <w:spacing w:val="-9"/>
          <w:w w:val="105"/>
        </w:rPr>
        <w:t xml:space="preserve"> </w:t>
      </w:r>
      <w:r w:rsidRPr="001A06A6">
        <w:rPr>
          <w:w w:val="105"/>
        </w:rPr>
        <w:t>performers</w:t>
      </w:r>
      <w:r w:rsidRPr="001A06A6">
        <w:rPr>
          <w:spacing w:val="-9"/>
          <w:w w:val="105"/>
        </w:rPr>
        <w:t xml:space="preserve"> </w:t>
      </w:r>
      <w:r w:rsidRPr="001A06A6">
        <w:rPr>
          <w:w w:val="105"/>
        </w:rPr>
        <w:t>should</w:t>
      </w:r>
      <w:r w:rsidRPr="001A06A6">
        <w:rPr>
          <w:spacing w:val="-9"/>
          <w:w w:val="105"/>
        </w:rPr>
        <w:t xml:space="preserve"> </w:t>
      </w:r>
      <w:r w:rsidRPr="001A06A6">
        <w:rPr>
          <w:w w:val="105"/>
        </w:rPr>
        <w:t>maintain</w:t>
      </w:r>
      <w:r w:rsidRPr="001A06A6">
        <w:rPr>
          <w:spacing w:val="-9"/>
          <w:w w:val="105"/>
        </w:rPr>
        <w:t xml:space="preserve"> </w:t>
      </w:r>
      <w:r w:rsidRPr="001A06A6">
        <w:rPr>
          <w:w w:val="105"/>
        </w:rPr>
        <w:t>physical distancing</w:t>
      </w:r>
    </w:p>
    <w:p w:rsidR="00843EE7" w:rsidRPr="008D6A18" w:rsidRDefault="00843EE7" w:rsidP="001F0215">
      <w:pPr>
        <w:pStyle w:val="Heading3"/>
      </w:pPr>
      <w:r>
        <w:t>Step 1</w:t>
      </w:r>
      <w:r w:rsidR="003956E7">
        <w:t>—</w:t>
      </w:r>
      <w:r>
        <w:t>Mixed Space</w:t>
      </w:r>
      <w:r w:rsidRPr="008D6A18">
        <w:t xml:space="preserve"> Live Performance Venues</w:t>
      </w:r>
    </w:p>
    <w:p w:rsidR="00843EE7" w:rsidRPr="001A06A6" w:rsidRDefault="00843EE7" w:rsidP="003956E7">
      <w:pPr>
        <w:pStyle w:val="Listparagraphbullets"/>
        <w:rPr>
          <w:w w:val="105"/>
        </w:rPr>
      </w:pPr>
      <w:r w:rsidRPr="001A06A6">
        <w:rPr>
          <w:w w:val="105"/>
        </w:rPr>
        <w:t>Venues closed to the</w:t>
      </w:r>
      <w:r w:rsidRPr="001A06A6">
        <w:rPr>
          <w:spacing w:val="-6"/>
          <w:w w:val="105"/>
        </w:rPr>
        <w:t xml:space="preserve"> </w:t>
      </w:r>
      <w:r w:rsidRPr="001A06A6">
        <w:rPr>
          <w:w w:val="105"/>
        </w:rPr>
        <w:t>public</w:t>
      </w:r>
    </w:p>
    <w:p w:rsidR="00843EE7" w:rsidRPr="001A06A6" w:rsidRDefault="00843EE7" w:rsidP="003956E7">
      <w:pPr>
        <w:pStyle w:val="Listparagraphbullets"/>
        <w:rPr>
          <w:spacing w:val="-2"/>
          <w:w w:val="105"/>
        </w:rPr>
      </w:pPr>
      <w:r w:rsidRPr="001A06A6">
        <w:rPr>
          <w:w w:val="105"/>
        </w:rPr>
        <w:t>Live streaming and broadcasting permitted, subject to gathering restriction set by</w:t>
      </w:r>
      <w:r w:rsidRPr="001A06A6">
        <w:rPr>
          <w:spacing w:val="-24"/>
          <w:w w:val="105"/>
        </w:rPr>
        <w:t xml:space="preserve"> </w:t>
      </w:r>
      <w:r w:rsidRPr="001A06A6">
        <w:rPr>
          <w:spacing w:val="-2"/>
          <w:w w:val="105"/>
        </w:rPr>
        <w:t>jurisdictions</w:t>
      </w:r>
    </w:p>
    <w:p w:rsidR="003956E7" w:rsidRDefault="00843EE7" w:rsidP="003956E7">
      <w:pPr>
        <w:pStyle w:val="Listparagraphbullets"/>
        <w:rPr>
          <w:spacing w:val="-2"/>
          <w:w w:val="105"/>
        </w:rPr>
      </w:pPr>
      <w:r w:rsidRPr="001A06A6">
        <w:rPr>
          <w:w w:val="105"/>
        </w:rPr>
        <w:t>Staff</w:t>
      </w:r>
      <w:r w:rsidRPr="001A06A6">
        <w:rPr>
          <w:spacing w:val="-9"/>
          <w:w w:val="105"/>
        </w:rPr>
        <w:t xml:space="preserve"> </w:t>
      </w:r>
      <w:r w:rsidRPr="001A06A6">
        <w:rPr>
          <w:w w:val="105"/>
        </w:rPr>
        <w:t>and</w:t>
      </w:r>
      <w:r w:rsidRPr="001A06A6">
        <w:rPr>
          <w:spacing w:val="-9"/>
          <w:w w:val="105"/>
        </w:rPr>
        <w:t xml:space="preserve"> </w:t>
      </w:r>
      <w:r w:rsidRPr="001A06A6">
        <w:rPr>
          <w:w w:val="105"/>
        </w:rPr>
        <w:t>performers</w:t>
      </w:r>
      <w:r w:rsidRPr="001A06A6">
        <w:rPr>
          <w:spacing w:val="-9"/>
          <w:w w:val="105"/>
        </w:rPr>
        <w:t xml:space="preserve"> </w:t>
      </w:r>
      <w:r w:rsidRPr="001A06A6">
        <w:rPr>
          <w:w w:val="105"/>
        </w:rPr>
        <w:t>should</w:t>
      </w:r>
      <w:r w:rsidRPr="001A06A6">
        <w:rPr>
          <w:spacing w:val="-9"/>
          <w:w w:val="105"/>
        </w:rPr>
        <w:t xml:space="preserve"> </w:t>
      </w:r>
      <w:r w:rsidRPr="001A06A6">
        <w:rPr>
          <w:w w:val="105"/>
        </w:rPr>
        <w:t>maintain</w:t>
      </w:r>
      <w:r w:rsidRPr="001A06A6">
        <w:rPr>
          <w:spacing w:val="-9"/>
          <w:w w:val="105"/>
        </w:rPr>
        <w:t xml:space="preserve"> </w:t>
      </w:r>
      <w:r w:rsidRPr="001A06A6">
        <w:rPr>
          <w:w w:val="105"/>
        </w:rPr>
        <w:t>physical distancing</w:t>
      </w:r>
    </w:p>
    <w:p w:rsidR="00843EE7" w:rsidRDefault="00843EE7" w:rsidP="001F0215">
      <w:pPr>
        <w:pStyle w:val="Heading3"/>
      </w:pPr>
      <w:r>
        <w:t>Step 1</w:t>
      </w:r>
      <w:r w:rsidR="003956E7">
        <w:t>—</w:t>
      </w:r>
      <w:r>
        <w:t xml:space="preserve">Indoor </w:t>
      </w:r>
      <w:r w:rsidRPr="008D6A18">
        <w:t>Live Performance Venues</w:t>
      </w:r>
    </w:p>
    <w:p w:rsidR="00843EE7" w:rsidRPr="001A06A6" w:rsidRDefault="00843EE7" w:rsidP="00E36B31">
      <w:pPr>
        <w:pStyle w:val="Listparagraphbullets"/>
        <w:rPr>
          <w:w w:val="105"/>
        </w:rPr>
      </w:pPr>
      <w:r w:rsidRPr="001A06A6">
        <w:rPr>
          <w:w w:val="105"/>
        </w:rPr>
        <w:t>Venues closed to the</w:t>
      </w:r>
      <w:r w:rsidRPr="00E36B31">
        <w:rPr>
          <w:w w:val="105"/>
        </w:rPr>
        <w:t xml:space="preserve"> </w:t>
      </w:r>
      <w:r w:rsidRPr="001A06A6">
        <w:rPr>
          <w:w w:val="105"/>
        </w:rPr>
        <w:t>public</w:t>
      </w:r>
    </w:p>
    <w:p w:rsidR="00843EE7" w:rsidRPr="001A06A6" w:rsidRDefault="00843EE7" w:rsidP="003956E7">
      <w:pPr>
        <w:pStyle w:val="Listparagraphbullets"/>
        <w:rPr>
          <w:spacing w:val="-2"/>
          <w:w w:val="105"/>
        </w:rPr>
      </w:pPr>
      <w:r w:rsidRPr="001A06A6">
        <w:rPr>
          <w:w w:val="105"/>
        </w:rPr>
        <w:t>Live streaming and broadcasting permitted, subject to gathering restriction set by</w:t>
      </w:r>
      <w:r w:rsidRPr="001A06A6">
        <w:rPr>
          <w:spacing w:val="-24"/>
          <w:w w:val="105"/>
        </w:rPr>
        <w:t xml:space="preserve"> </w:t>
      </w:r>
      <w:r w:rsidRPr="001A06A6">
        <w:rPr>
          <w:spacing w:val="-2"/>
          <w:w w:val="105"/>
        </w:rPr>
        <w:t>jurisdictions</w:t>
      </w:r>
    </w:p>
    <w:p w:rsidR="003956E7" w:rsidRDefault="00843EE7" w:rsidP="003956E7">
      <w:pPr>
        <w:pStyle w:val="Listparagraphbullets"/>
        <w:rPr>
          <w:spacing w:val="-2"/>
          <w:w w:val="105"/>
        </w:rPr>
      </w:pPr>
      <w:r w:rsidRPr="001A06A6">
        <w:rPr>
          <w:w w:val="105"/>
        </w:rPr>
        <w:t>Staff</w:t>
      </w:r>
      <w:r w:rsidRPr="001A06A6">
        <w:rPr>
          <w:spacing w:val="-9"/>
          <w:w w:val="105"/>
        </w:rPr>
        <w:t xml:space="preserve"> </w:t>
      </w:r>
      <w:r w:rsidRPr="001A06A6">
        <w:rPr>
          <w:w w:val="105"/>
        </w:rPr>
        <w:t>and</w:t>
      </w:r>
      <w:r w:rsidRPr="001A06A6">
        <w:rPr>
          <w:spacing w:val="-9"/>
          <w:w w:val="105"/>
        </w:rPr>
        <w:t xml:space="preserve"> </w:t>
      </w:r>
      <w:r w:rsidRPr="001A06A6">
        <w:rPr>
          <w:w w:val="105"/>
        </w:rPr>
        <w:t>performers</w:t>
      </w:r>
      <w:r w:rsidRPr="001A06A6">
        <w:rPr>
          <w:spacing w:val="-9"/>
          <w:w w:val="105"/>
        </w:rPr>
        <w:t xml:space="preserve"> </w:t>
      </w:r>
      <w:r w:rsidRPr="001A06A6">
        <w:rPr>
          <w:w w:val="105"/>
        </w:rPr>
        <w:t>should</w:t>
      </w:r>
      <w:r w:rsidRPr="001A06A6">
        <w:rPr>
          <w:spacing w:val="-9"/>
          <w:w w:val="105"/>
        </w:rPr>
        <w:t xml:space="preserve"> </w:t>
      </w:r>
      <w:r w:rsidRPr="001A06A6">
        <w:rPr>
          <w:w w:val="105"/>
        </w:rPr>
        <w:t>maintain</w:t>
      </w:r>
      <w:r w:rsidRPr="001A06A6">
        <w:rPr>
          <w:spacing w:val="-9"/>
          <w:w w:val="105"/>
        </w:rPr>
        <w:t xml:space="preserve"> </w:t>
      </w:r>
      <w:r w:rsidRPr="001A06A6">
        <w:rPr>
          <w:w w:val="105"/>
        </w:rPr>
        <w:t>physical distancing</w:t>
      </w:r>
    </w:p>
    <w:p w:rsidR="00843EE7" w:rsidRDefault="00843EE7" w:rsidP="001F0215">
      <w:pPr>
        <w:pStyle w:val="Heading3"/>
      </w:pPr>
      <w:r>
        <w:t>Step 1</w:t>
      </w:r>
      <w:r w:rsidR="003956E7">
        <w:t>—</w:t>
      </w:r>
      <w:r>
        <w:t>Festivals</w:t>
      </w:r>
    </w:p>
    <w:p w:rsidR="00843EE7" w:rsidRPr="001A06A6" w:rsidRDefault="00843EE7" w:rsidP="003956E7">
      <w:pPr>
        <w:pStyle w:val="Listparagraphbullets"/>
        <w:rPr>
          <w:w w:val="105"/>
        </w:rPr>
      </w:pPr>
      <w:r w:rsidRPr="001A06A6">
        <w:rPr>
          <w:w w:val="105"/>
        </w:rPr>
        <w:t>Live streaming and broadcasting of festival events permitted, subject to gathering restriction set by jurisdictions</w:t>
      </w:r>
    </w:p>
    <w:p w:rsidR="003956E7" w:rsidRDefault="00843EE7" w:rsidP="003956E7">
      <w:pPr>
        <w:pStyle w:val="Listparagraphbullets"/>
        <w:rPr>
          <w:w w:val="105"/>
        </w:rPr>
      </w:pPr>
      <w:r w:rsidRPr="001A06A6">
        <w:rPr>
          <w:w w:val="105"/>
        </w:rPr>
        <w:t>Staff and performers should maintain physical distancing</w:t>
      </w:r>
    </w:p>
    <w:p w:rsidR="00843EE7" w:rsidRDefault="00843EE7" w:rsidP="001F0215">
      <w:pPr>
        <w:pStyle w:val="Heading3"/>
      </w:pPr>
      <w:r>
        <w:t>Step 1</w:t>
      </w:r>
      <w:r w:rsidR="003956E7">
        <w:t>—</w:t>
      </w:r>
      <w:r>
        <w:t>Domestic Touring</w:t>
      </w:r>
    </w:p>
    <w:p w:rsidR="00843EE7" w:rsidRPr="001A06A6" w:rsidRDefault="00843EE7" w:rsidP="003956E7">
      <w:pPr>
        <w:pStyle w:val="Listparagraphbullets"/>
        <w:rPr>
          <w:w w:val="105"/>
        </w:rPr>
      </w:pPr>
      <w:r w:rsidRPr="001A06A6">
        <w:rPr>
          <w:w w:val="105"/>
        </w:rPr>
        <w:t>Interstate touring possible subject to opening of domestic borders</w:t>
      </w:r>
    </w:p>
    <w:p w:rsidR="00843EE7" w:rsidRDefault="00843EE7" w:rsidP="001F0215">
      <w:pPr>
        <w:pStyle w:val="Heading3"/>
      </w:pPr>
      <w:r>
        <w:t>Step 1</w:t>
      </w:r>
      <w:r w:rsidR="003956E7">
        <w:t>—</w:t>
      </w:r>
      <w:r>
        <w:t>International Touring</w:t>
      </w:r>
    </w:p>
    <w:p w:rsidR="00843EE7" w:rsidRPr="001A06A6" w:rsidRDefault="00843EE7" w:rsidP="003956E7">
      <w:pPr>
        <w:pStyle w:val="Listparagraphbullets"/>
        <w:rPr>
          <w:spacing w:val="-2"/>
          <w:w w:val="105"/>
        </w:rPr>
      </w:pPr>
      <w:r w:rsidRPr="001A06A6">
        <w:rPr>
          <w:w w:val="105"/>
        </w:rPr>
        <w:t>International borders closed. Entry by exception</w:t>
      </w:r>
    </w:p>
    <w:p w:rsidR="00843EE7" w:rsidRPr="005635C9" w:rsidRDefault="00843EE7" w:rsidP="001F0215">
      <w:pPr>
        <w:pStyle w:val="Heading2"/>
      </w:pPr>
      <w:r w:rsidRPr="005635C9">
        <w:lastRenderedPageBreak/>
        <w:t>Step 2</w:t>
      </w:r>
      <w:r w:rsidR="003956E7">
        <w:t>—</w:t>
      </w:r>
      <w:r w:rsidRPr="005635C9">
        <w:t>Expanding Number of Patrons and Activities</w:t>
      </w:r>
    </w:p>
    <w:p w:rsidR="00843EE7" w:rsidRPr="00E36B31" w:rsidRDefault="00843EE7" w:rsidP="00843EE7">
      <w:pPr>
        <w:pStyle w:val="BodyText"/>
        <w:kinsoku w:val="0"/>
        <w:overflowPunct w:val="0"/>
        <w:spacing w:before="103" w:after="160"/>
        <w:rPr>
          <w:rFonts w:ascii="Segoe UI" w:hAnsi="Segoe UI" w:cs="Segoe UI"/>
          <w:iCs/>
          <w:w w:val="105"/>
          <w:sz w:val="21"/>
          <w:szCs w:val="21"/>
        </w:rPr>
      </w:pPr>
      <w:r w:rsidRPr="00E36B31">
        <w:rPr>
          <w:rFonts w:ascii="Segoe UI" w:hAnsi="Segoe UI" w:cs="Segoe UI"/>
          <w:sz w:val="21"/>
          <w:szCs w:val="21"/>
        </w:rPr>
        <w:t>Public Health Indicator: New locally acquired cases indicator on the COP is green for 14 days AND no cases in either high transmission settings or hard to reach populations</w:t>
      </w:r>
      <w:r w:rsidRPr="00E36B31">
        <w:rPr>
          <w:rFonts w:ascii="Segoe UI" w:hAnsi="Segoe UI" w:cs="Segoe UI"/>
          <w:iCs/>
          <w:w w:val="105"/>
          <w:sz w:val="21"/>
          <w:szCs w:val="21"/>
        </w:rPr>
        <w:t xml:space="preserve"> </w:t>
      </w:r>
      <w:r w:rsidRPr="00E36B31">
        <w:rPr>
          <w:rFonts w:ascii="Segoe UI" w:hAnsi="Segoe UI" w:cs="Segoe UI"/>
          <w:sz w:val="21"/>
          <w:szCs w:val="21"/>
        </w:rPr>
        <w:t>(</w:t>
      </w:r>
      <w:r w:rsidRPr="00E36B31">
        <w:rPr>
          <w:rFonts w:ascii="Segoe UI" w:hAnsi="Segoe UI" w:cs="Segoe UI"/>
          <w:iCs/>
          <w:w w:val="105"/>
          <w:sz w:val="21"/>
          <w:szCs w:val="21"/>
        </w:rPr>
        <w:t xml:space="preserve">refer to the </w:t>
      </w:r>
      <w:hyperlink r:id="rId17" w:history="1">
        <w:r w:rsidRPr="00E36B31">
          <w:rPr>
            <w:rStyle w:val="Hyperlink"/>
            <w:rFonts w:ascii="Segoe UI" w:hAnsi="Segoe UI" w:cs="Segoe UI"/>
            <w:sz w:val="21"/>
            <w:szCs w:val="21"/>
          </w:rPr>
          <w:t>Framework for National Reopening</w:t>
        </w:r>
      </w:hyperlink>
      <w:r w:rsidRPr="00E36B31">
        <w:rPr>
          <w:rFonts w:ascii="Segoe UI" w:hAnsi="Segoe UI" w:cs="Segoe UI"/>
          <w:bCs/>
          <w:color w:val="2F63A2"/>
          <w:sz w:val="21"/>
          <w:szCs w:val="21"/>
        </w:rPr>
        <w:t xml:space="preserve"> </w:t>
      </w:r>
      <w:r w:rsidRPr="00E36B31">
        <w:rPr>
          <w:rFonts w:ascii="Segoe UI" w:hAnsi="Segoe UI" w:cs="Segoe UI"/>
          <w:color w:val="292829"/>
          <w:sz w:val="21"/>
          <w:szCs w:val="21"/>
        </w:rPr>
        <w:t xml:space="preserve">and </w:t>
      </w:r>
      <w:hyperlink r:id="rId18" w:history="1">
        <w:r w:rsidRPr="00C0417C">
          <w:rPr>
            <w:rStyle w:val="Hyperlink"/>
            <w:rFonts w:ascii="Segoe UI" w:hAnsi="Segoe UI" w:cs="Segoe UI"/>
            <w:bCs/>
            <w:sz w:val="21"/>
            <w:szCs w:val="21"/>
          </w:rPr>
          <w:t>Common Operating Picture</w:t>
        </w:r>
      </w:hyperlink>
      <w:r w:rsidRPr="00E36B31">
        <w:rPr>
          <w:rFonts w:ascii="Segoe UI" w:hAnsi="Segoe UI" w:cs="Segoe UI"/>
          <w:bCs/>
          <w:sz w:val="21"/>
          <w:szCs w:val="21"/>
        </w:rPr>
        <w:t>)</w:t>
      </w:r>
    </w:p>
    <w:p w:rsidR="00843EE7" w:rsidRPr="008D6A18" w:rsidRDefault="00843EE7" w:rsidP="001F0215">
      <w:pPr>
        <w:pStyle w:val="Heading3"/>
      </w:pPr>
      <w:r>
        <w:t>Step 2</w:t>
      </w:r>
      <w:r w:rsidR="003956E7">
        <w:t>—</w:t>
      </w:r>
      <w:r w:rsidRPr="008D6A18">
        <w:t>Outdoor Live Performance Venues</w:t>
      </w:r>
    </w:p>
    <w:p w:rsidR="00843EE7" w:rsidRPr="005635C9" w:rsidRDefault="00843EE7" w:rsidP="003956E7">
      <w:pPr>
        <w:pStyle w:val="Listparagraphbullets"/>
        <w:rPr>
          <w:w w:val="105"/>
        </w:rPr>
      </w:pPr>
      <w:r w:rsidRPr="005635C9">
        <w:rPr>
          <w:w w:val="105"/>
        </w:rPr>
        <w:t>Capacity is determined by the jurisdiction; if supported by appropriate risk mitigation, capacity may be around 50%**</w:t>
      </w:r>
    </w:p>
    <w:p w:rsidR="00843EE7" w:rsidRPr="005635C9" w:rsidRDefault="00843EE7" w:rsidP="003956E7">
      <w:pPr>
        <w:pStyle w:val="Listparagraphbullets"/>
        <w:rPr>
          <w:w w:val="105"/>
        </w:rPr>
      </w:pPr>
      <w:r w:rsidRPr="005635C9">
        <w:rPr>
          <w:w w:val="105"/>
        </w:rPr>
        <w:t>Density restrictions as applicable, for example 2 or 4m</w:t>
      </w:r>
      <w:r w:rsidRPr="00E035EF">
        <w:rPr>
          <w:w w:val="105"/>
          <w:vertAlign w:val="superscript"/>
        </w:rPr>
        <w:t>2</w:t>
      </w:r>
    </w:p>
    <w:p w:rsidR="00843EE7" w:rsidRPr="005635C9" w:rsidRDefault="00843EE7" w:rsidP="003956E7">
      <w:pPr>
        <w:pStyle w:val="Listparagraphbullets"/>
        <w:rPr>
          <w:w w:val="105"/>
        </w:rPr>
      </w:pPr>
      <w:r w:rsidRPr="005635C9">
        <w:rPr>
          <w:w w:val="105"/>
        </w:rPr>
        <w:t>Depending on event size, there may be different approval processes as determined by the jurisdiction. Larger events as defined by jurisdictions may be subject to an approval process, which may include a COVID event plan</w:t>
      </w:r>
    </w:p>
    <w:p w:rsidR="00843EE7" w:rsidRPr="005635C9" w:rsidRDefault="00843EE7" w:rsidP="003956E7">
      <w:pPr>
        <w:pStyle w:val="Listparagraphbullets"/>
        <w:rPr>
          <w:w w:val="105"/>
        </w:rPr>
      </w:pPr>
      <w:r w:rsidRPr="005635C9">
        <w:rPr>
          <w:w w:val="105"/>
        </w:rPr>
        <w:t>Reserved / allocated tickets for seated areas. General admission / standing tickets must have additional controls and are subject to jurisdictional approval</w:t>
      </w:r>
    </w:p>
    <w:p w:rsidR="00843EE7" w:rsidRPr="008D6A18" w:rsidRDefault="00843EE7" w:rsidP="001F0215">
      <w:pPr>
        <w:pStyle w:val="Heading3"/>
      </w:pPr>
      <w:r>
        <w:t>Step 2</w:t>
      </w:r>
      <w:r w:rsidR="003956E7">
        <w:t>—</w:t>
      </w:r>
      <w:r>
        <w:t>Mixed Space</w:t>
      </w:r>
      <w:r w:rsidRPr="008D6A18">
        <w:t xml:space="preserve"> Live Performance Venues</w:t>
      </w:r>
    </w:p>
    <w:p w:rsidR="00843EE7" w:rsidRPr="005635C9" w:rsidRDefault="00843EE7" w:rsidP="003956E7">
      <w:pPr>
        <w:pStyle w:val="Listparagraphbullets"/>
        <w:rPr>
          <w:w w:val="105"/>
        </w:rPr>
      </w:pPr>
      <w:r w:rsidRPr="005635C9">
        <w:rPr>
          <w:w w:val="105"/>
        </w:rPr>
        <w:t>Capacity is determined by the jurisdiction; if supported by appropriate risk mitigation, capacity may be around 50%**</w:t>
      </w:r>
    </w:p>
    <w:p w:rsidR="00843EE7" w:rsidRPr="005635C9" w:rsidRDefault="00843EE7" w:rsidP="003956E7">
      <w:pPr>
        <w:pStyle w:val="Listparagraphbullets"/>
        <w:rPr>
          <w:w w:val="105"/>
        </w:rPr>
      </w:pPr>
      <w:r w:rsidRPr="005635C9">
        <w:rPr>
          <w:w w:val="105"/>
        </w:rPr>
        <w:t>Density restrictions as applicable, for example 2 or 4m</w:t>
      </w:r>
      <w:r w:rsidRPr="00E035EF">
        <w:rPr>
          <w:w w:val="105"/>
          <w:vertAlign w:val="superscript"/>
        </w:rPr>
        <w:t>2</w:t>
      </w:r>
    </w:p>
    <w:p w:rsidR="00843EE7" w:rsidRPr="005635C9" w:rsidRDefault="00843EE7" w:rsidP="003956E7">
      <w:pPr>
        <w:pStyle w:val="Listparagraphbullets"/>
        <w:rPr>
          <w:w w:val="105"/>
        </w:rPr>
      </w:pPr>
      <w:r w:rsidRPr="005635C9">
        <w:rPr>
          <w:w w:val="105"/>
        </w:rPr>
        <w:t>Different patron density limits can apply to indoor and outdoor spaces at the same event. Both spaces need to be managed to ensure compliance</w:t>
      </w:r>
    </w:p>
    <w:p w:rsidR="00843EE7" w:rsidRPr="005635C9" w:rsidRDefault="00843EE7" w:rsidP="003956E7">
      <w:pPr>
        <w:pStyle w:val="Listparagraphbullets"/>
        <w:rPr>
          <w:w w:val="105"/>
        </w:rPr>
      </w:pPr>
      <w:r w:rsidRPr="005635C9">
        <w:rPr>
          <w:w w:val="105"/>
        </w:rPr>
        <w:t>Depending on event size, there may be different approval processes as determined by the jurisdiction. Larger events as defined by jurisdictions may be subject to an approval process, which may include a COVID event plan</w:t>
      </w:r>
    </w:p>
    <w:p w:rsidR="003956E7" w:rsidRDefault="00843EE7" w:rsidP="003956E7">
      <w:pPr>
        <w:pStyle w:val="Listparagraphbullets"/>
        <w:rPr>
          <w:w w:val="105"/>
        </w:rPr>
      </w:pPr>
      <w:r w:rsidRPr="005635C9">
        <w:rPr>
          <w:w w:val="105"/>
        </w:rPr>
        <w:t>Reserved / allocated tickets for seated areas. General admission / standing tickets must have additional controls and are subject to jurisdictional approval</w:t>
      </w:r>
    </w:p>
    <w:p w:rsidR="00843EE7" w:rsidRPr="005635C9" w:rsidRDefault="00843EE7" w:rsidP="001F0215">
      <w:pPr>
        <w:pStyle w:val="Heading3"/>
      </w:pPr>
      <w:r>
        <w:t>Step 2</w:t>
      </w:r>
      <w:r w:rsidR="003956E7">
        <w:t>—</w:t>
      </w:r>
      <w:r>
        <w:t xml:space="preserve">Indoor </w:t>
      </w:r>
      <w:r w:rsidRPr="008D6A18">
        <w:t>Live Performance Venues</w:t>
      </w:r>
    </w:p>
    <w:p w:rsidR="00843EE7" w:rsidRPr="005635C9" w:rsidRDefault="00843EE7" w:rsidP="003956E7">
      <w:pPr>
        <w:pStyle w:val="Listparagraphbullets"/>
        <w:rPr>
          <w:w w:val="105"/>
        </w:rPr>
      </w:pPr>
      <w:r w:rsidRPr="005635C9">
        <w:rPr>
          <w:w w:val="105"/>
        </w:rPr>
        <w:t>Capacity is determined by the jurisdiction; if supported by appropriate risk mitigation, capacity may be around 50%**</w:t>
      </w:r>
    </w:p>
    <w:p w:rsidR="00843EE7" w:rsidRPr="005635C9" w:rsidRDefault="00843EE7" w:rsidP="003956E7">
      <w:pPr>
        <w:pStyle w:val="Listparagraphbullets"/>
        <w:rPr>
          <w:w w:val="105"/>
        </w:rPr>
      </w:pPr>
      <w:r w:rsidRPr="005635C9">
        <w:rPr>
          <w:w w:val="105"/>
        </w:rPr>
        <w:t>Density restrictions as applicable, for example 2 or 4m</w:t>
      </w:r>
      <w:r w:rsidRPr="00E035EF">
        <w:rPr>
          <w:w w:val="105"/>
          <w:vertAlign w:val="superscript"/>
        </w:rPr>
        <w:t>2</w:t>
      </w:r>
    </w:p>
    <w:p w:rsidR="00843EE7" w:rsidRPr="005635C9" w:rsidRDefault="00843EE7" w:rsidP="003956E7">
      <w:pPr>
        <w:pStyle w:val="Listparagraphbullets"/>
        <w:rPr>
          <w:w w:val="105"/>
        </w:rPr>
      </w:pPr>
      <w:r w:rsidRPr="005635C9">
        <w:rPr>
          <w:w w:val="105"/>
        </w:rPr>
        <w:t>Depending on event size, there may be different approval processes as determined by the jurisdiction. Larger events as defined by jurisdictions may be subject to an approval process, which may include a COVID event plan</w:t>
      </w:r>
    </w:p>
    <w:p w:rsidR="003956E7" w:rsidRDefault="00843EE7" w:rsidP="003956E7">
      <w:pPr>
        <w:pStyle w:val="Listparagraphbullets"/>
        <w:rPr>
          <w:w w:val="105"/>
        </w:rPr>
      </w:pPr>
      <w:r w:rsidRPr="005635C9">
        <w:rPr>
          <w:w w:val="105"/>
        </w:rPr>
        <w:t>Reserved / allocated tickets for seated areas only</w:t>
      </w:r>
    </w:p>
    <w:p w:rsidR="00843EE7" w:rsidRDefault="00843EE7" w:rsidP="001F0215">
      <w:pPr>
        <w:pStyle w:val="Heading3"/>
      </w:pPr>
      <w:r>
        <w:t>Step 2</w:t>
      </w:r>
      <w:r w:rsidR="003956E7">
        <w:t>—</w:t>
      </w:r>
      <w:r>
        <w:t>Festivals</w:t>
      </w:r>
    </w:p>
    <w:p w:rsidR="00843EE7" w:rsidRPr="005635C9" w:rsidRDefault="00843EE7" w:rsidP="003956E7">
      <w:pPr>
        <w:pStyle w:val="Listparagraphbullets"/>
        <w:rPr>
          <w:w w:val="105"/>
        </w:rPr>
      </w:pPr>
      <w:r w:rsidRPr="005635C9">
        <w:rPr>
          <w:w w:val="105"/>
        </w:rPr>
        <w:t>Lower risk festivals (outdoor, single stage) can be held with restrictions and a COVID event plan in accordance with jurisdictional processes</w:t>
      </w:r>
    </w:p>
    <w:p w:rsidR="003956E7" w:rsidRDefault="00843EE7" w:rsidP="003956E7">
      <w:pPr>
        <w:pStyle w:val="Listparagraphbullets"/>
        <w:rPr>
          <w:w w:val="105"/>
        </w:rPr>
      </w:pPr>
      <w:r w:rsidRPr="005635C9">
        <w:rPr>
          <w:w w:val="105"/>
        </w:rPr>
        <w:lastRenderedPageBreak/>
        <w:t>Strict control measures, such as creating different zones across a site to reduce</w:t>
      </w:r>
      <w:r w:rsidRPr="005635C9">
        <w:rPr>
          <w:spacing w:val="-6"/>
          <w:w w:val="105"/>
        </w:rPr>
        <w:t xml:space="preserve"> </w:t>
      </w:r>
      <w:r w:rsidRPr="005635C9">
        <w:rPr>
          <w:w w:val="105"/>
        </w:rPr>
        <w:t>risk,</w:t>
      </w:r>
      <w:r w:rsidRPr="005635C9">
        <w:rPr>
          <w:spacing w:val="-6"/>
          <w:w w:val="105"/>
        </w:rPr>
        <w:t xml:space="preserve"> </w:t>
      </w:r>
      <w:r w:rsidRPr="005635C9">
        <w:rPr>
          <w:w w:val="105"/>
        </w:rPr>
        <w:t>will</w:t>
      </w:r>
      <w:r w:rsidRPr="005635C9">
        <w:rPr>
          <w:spacing w:val="-5"/>
          <w:w w:val="105"/>
        </w:rPr>
        <w:t xml:space="preserve"> </w:t>
      </w:r>
      <w:r w:rsidRPr="005635C9">
        <w:rPr>
          <w:w w:val="105"/>
        </w:rPr>
        <w:t>be</w:t>
      </w:r>
      <w:r w:rsidRPr="005635C9">
        <w:rPr>
          <w:spacing w:val="-6"/>
          <w:w w:val="105"/>
        </w:rPr>
        <w:t xml:space="preserve"> </w:t>
      </w:r>
      <w:r w:rsidRPr="005635C9">
        <w:rPr>
          <w:w w:val="105"/>
        </w:rPr>
        <w:t>required.</w:t>
      </w:r>
      <w:r w:rsidRPr="005635C9">
        <w:rPr>
          <w:spacing w:val="-5"/>
          <w:w w:val="105"/>
        </w:rPr>
        <w:t xml:space="preserve"> </w:t>
      </w:r>
      <w:r w:rsidRPr="005635C9">
        <w:rPr>
          <w:w w:val="105"/>
        </w:rPr>
        <w:t>Refer</w:t>
      </w:r>
      <w:r w:rsidRPr="005635C9">
        <w:rPr>
          <w:spacing w:val="-6"/>
          <w:w w:val="105"/>
        </w:rPr>
        <w:t xml:space="preserve"> </w:t>
      </w:r>
      <w:r w:rsidRPr="005635C9">
        <w:rPr>
          <w:w w:val="105"/>
        </w:rPr>
        <w:t>to</w:t>
      </w:r>
      <w:r w:rsidRPr="005635C9">
        <w:rPr>
          <w:color w:val="215E9E"/>
          <w:spacing w:val="-3"/>
          <w:w w:val="105"/>
        </w:rPr>
        <w:t xml:space="preserve"> </w:t>
      </w:r>
      <w:hyperlink r:id="rId19" w:history="1">
        <w:r w:rsidRPr="005635C9">
          <w:rPr>
            <w:color w:val="215E9E"/>
            <w:w w:val="105"/>
            <w:u w:val="single"/>
          </w:rPr>
          <w:t>Safe</w:t>
        </w:r>
        <w:r w:rsidRPr="005635C9">
          <w:rPr>
            <w:color w:val="215E9E"/>
            <w:spacing w:val="-5"/>
            <w:w w:val="105"/>
            <w:u w:val="single"/>
          </w:rPr>
          <w:t xml:space="preserve"> </w:t>
        </w:r>
        <w:r w:rsidRPr="005635C9">
          <w:rPr>
            <w:color w:val="215E9E"/>
            <w:w w:val="105"/>
            <w:u w:val="single"/>
          </w:rPr>
          <w:t>Work</w:t>
        </w:r>
        <w:r w:rsidRPr="005635C9">
          <w:rPr>
            <w:color w:val="215E9E"/>
            <w:spacing w:val="-6"/>
            <w:w w:val="105"/>
            <w:u w:val="single"/>
          </w:rPr>
          <w:t xml:space="preserve"> </w:t>
        </w:r>
        <w:r w:rsidRPr="005635C9">
          <w:rPr>
            <w:color w:val="215E9E"/>
            <w:w w:val="105"/>
            <w:u w:val="single"/>
          </w:rPr>
          <w:t>Australia</w:t>
        </w:r>
        <w:r w:rsidRPr="005635C9">
          <w:rPr>
            <w:color w:val="215E9E"/>
            <w:spacing w:val="-5"/>
            <w:w w:val="105"/>
          </w:rPr>
          <w:t xml:space="preserve"> </w:t>
        </w:r>
      </w:hyperlink>
      <w:r w:rsidRPr="005635C9">
        <w:rPr>
          <w:color w:val="000000"/>
          <w:w w:val="105"/>
        </w:rPr>
        <w:t>and</w:t>
      </w:r>
      <w:r w:rsidRPr="005635C9">
        <w:rPr>
          <w:color w:val="000000"/>
          <w:spacing w:val="-6"/>
          <w:w w:val="105"/>
        </w:rPr>
        <w:t xml:space="preserve"> </w:t>
      </w:r>
      <w:r w:rsidRPr="005635C9">
        <w:rPr>
          <w:color w:val="000000"/>
          <w:w w:val="105"/>
        </w:rPr>
        <w:t>relevant</w:t>
      </w:r>
      <w:r w:rsidRPr="005635C9">
        <w:rPr>
          <w:color w:val="000000"/>
          <w:spacing w:val="-5"/>
          <w:w w:val="105"/>
        </w:rPr>
        <w:t xml:space="preserve"> </w:t>
      </w:r>
      <w:r w:rsidRPr="005635C9">
        <w:rPr>
          <w:color w:val="000000"/>
          <w:w w:val="105"/>
        </w:rPr>
        <w:t>public health jurisdictions for guidance on appropriate risk assessment and management of live</w:t>
      </w:r>
      <w:r w:rsidRPr="005635C9">
        <w:rPr>
          <w:color w:val="000000"/>
          <w:spacing w:val="-4"/>
          <w:w w:val="105"/>
        </w:rPr>
        <w:t xml:space="preserve"> </w:t>
      </w:r>
      <w:r w:rsidRPr="005635C9">
        <w:rPr>
          <w:color w:val="000000"/>
          <w:w w:val="105"/>
        </w:rPr>
        <w:t>events</w:t>
      </w:r>
    </w:p>
    <w:p w:rsidR="00843EE7" w:rsidRDefault="00843EE7" w:rsidP="001F0215">
      <w:pPr>
        <w:pStyle w:val="Heading3"/>
      </w:pPr>
      <w:r>
        <w:t>Step 2</w:t>
      </w:r>
      <w:r w:rsidR="003956E7">
        <w:t>—</w:t>
      </w:r>
      <w:r>
        <w:t>Domestic Touring</w:t>
      </w:r>
    </w:p>
    <w:p w:rsidR="003956E7" w:rsidRDefault="00843EE7" w:rsidP="003956E7">
      <w:pPr>
        <w:pStyle w:val="Listparagraphbullets"/>
        <w:rPr>
          <w:w w:val="105"/>
        </w:rPr>
      </w:pPr>
      <w:r w:rsidRPr="001A06A6">
        <w:rPr>
          <w:w w:val="105"/>
        </w:rPr>
        <w:t>Interstate touring possible subject to opening of domestic borders</w:t>
      </w:r>
    </w:p>
    <w:p w:rsidR="00843EE7" w:rsidRDefault="00843EE7" w:rsidP="001F0215">
      <w:pPr>
        <w:pStyle w:val="Heading3"/>
      </w:pPr>
      <w:r>
        <w:t>Step 2</w:t>
      </w:r>
      <w:r w:rsidR="003956E7">
        <w:t>—</w:t>
      </w:r>
      <w:r>
        <w:t>International Touring</w:t>
      </w:r>
    </w:p>
    <w:p w:rsidR="003956E7" w:rsidRDefault="00843EE7" w:rsidP="003956E7">
      <w:pPr>
        <w:pStyle w:val="Listparagraphbullets"/>
        <w:rPr>
          <w:w w:val="105"/>
        </w:rPr>
      </w:pPr>
      <w:r w:rsidRPr="005635C9">
        <w:rPr>
          <w:w w:val="105"/>
        </w:rPr>
        <w:t>International borders closed with exception of approved pilot programs</w:t>
      </w:r>
    </w:p>
    <w:p w:rsidR="00843EE7" w:rsidRDefault="00843EE7" w:rsidP="001F0215">
      <w:pPr>
        <w:pStyle w:val="Heading2"/>
      </w:pPr>
      <w:r>
        <w:t>Step 3</w:t>
      </w:r>
      <w:r w:rsidR="003956E7">
        <w:t>—</w:t>
      </w:r>
      <w:r>
        <w:t>COVID Normal</w:t>
      </w:r>
    </w:p>
    <w:p w:rsidR="00843EE7" w:rsidRPr="00E36B31" w:rsidRDefault="00843EE7" w:rsidP="003956E7">
      <w:pPr>
        <w:pStyle w:val="BodyText"/>
        <w:keepNext/>
        <w:keepLines/>
        <w:kinsoku w:val="0"/>
        <w:overflowPunct w:val="0"/>
        <w:spacing w:before="103" w:after="160"/>
        <w:rPr>
          <w:rFonts w:ascii="Segoe UI" w:hAnsi="Segoe UI" w:cs="Segoe UI"/>
          <w:iCs/>
          <w:w w:val="105"/>
          <w:sz w:val="21"/>
          <w:szCs w:val="21"/>
        </w:rPr>
      </w:pPr>
      <w:r w:rsidRPr="00E36B31">
        <w:rPr>
          <w:rFonts w:ascii="Segoe UI" w:hAnsi="Segoe UI" w:cs="Segoe UI"/>
          <w:sz w:val="21"/>
          <w:szCs w:val="21"/>
        </w:rPr>
        <w:t>Public Health Indicator: All locally acquired indicators on the COP are green for 14 days (</w:t>
      </w:r>
      <w:r w:rsidRPr="00E36B31">
        <w:rPr>
          <w:rFonts w:ascii="Segoe UI" w:hAnsi="Segoe UI" w:cs="Segoe UI"/>
          <w:iCs/>
          <w:w w:val="105"/>
          <w:sz w:val="21"/>
          <w:szCs w:val="21"/>
        </w:rPr>
        <w:t xml:space="preserve">refer to the </w:t>
      </w:r>
      <w:hyperlink r:id="rId20" w:history="1">
        <w:r w:rsidRPr="00E36B31">
          <w:rPr>
            <w:rStyle w:val="Hyperlink"/>
            <w:rFonts w:ascii="Segoe UI" w:hAnsi="Segoe UI" w:cs="Segoe UI"/>
            <w:sz w:val="21"/>
            <w:szCs w:val="21"/>
          </w:rPr>
          <w:t>Framework for National Reopening</w:t>
        </w:r>
      </w:hyperlink>
      <w:r w:rsidRPr="00E36B31">
        <w:rPr>
          <w:rFonts w:ascii="Segoe UI" w:hAnsi="Segoe UI" w:cs="Segoe UI"/>
          <w:bCs/>
          <w:color w:val="2F63A2"/>
          <w:sz w:val="21"/>
          <w:szCs w:val="21"/>
        </w:rPr>
        <w:t xml:space="preserve"> </w:t>
      </w:r>
      <w:r w:rsidRPr="00E36B31">
        <w:rPr>
          <w:rFonts w:ascii="Segoe UI" w:hAnsi="Segoe UI" w:cs="Segoe UI"/>
          <w:color w:val="292829"/>
          <w:sz w:val="21"/>
          <w:szCs w:val="21"/>
        </w:rPr>
        <w:t xml:space="preserve">and </w:t>
      </w:r>
      <w:hyperlink r:id="rId21" w:history="1">
        <w:r w:rsidRPr="00E36B31">
          <w:rPr>
            <w:rStyle w:val="Hyperlink"/>
            <w:rFonts w:ascii="Segoe UI" w:hAnsi="Segoe UI" w:cs="Segoe UI"/>
            <w:sz w:val="21"/>
            <w:szCs w:val="21"/>
          </w:rPr>
          <w:t>Common Operating Picture</w:t>
        </w:r>
      </w:hyperlink>
      <w:r w:rsidRPr="00E36B31">
        <w:rPr>
          <w:rFonts w:ascii="Segoe UI" w:hAnsi="Segoe UI" w:cs="Segoe UI"/>
          <w:bCs/>
          <w:sz w:val="21"/>
          <w:szCs w:val="21"/>
        </w:rPr>
        <w:t>)</w:t>
      </w:r>
    </w:p>
    <w:p w:rsidR="00843EE7" w:rsidRPr="008D6A18" w:rsidRDefault="00843EE7" w:rsidP="001F0215">
      <w:pPr>
        <w:pStyle w:val="Heading3"/>
      </w:pPr>
      <w:r>
        <w:t>Step 3</w:t>
      </w:r>
      <w:r w:rsidR="003956E7">
        <w:t>—</w:t>
      </w:r>
      <w:r w:rsidRPr="008D6A18">
        <w:t>Outdoor Live Performance Venues</w:t>
      </w:r>
    </w:p>
    <w:p w:rsidR="00843EE7" w:rsidRPr="00182BB7" w:rsidRDefault="00843EE7" w:rsidP="003956E7">
      <w:pPr>
        <w:pStyle w:val="Listparagraphbullets"/>
        <w:rPr>
          <w:w w:val="105"/>
        </w:rPr>
      </w:pPr>
      <w:r w:rsidRPr="00182BB7">
        <w:rPr>
          <w:w w:val="105"/>
        </w:rPr>
        <w:t>Capacity is determined by the jurisdiction; if supported by appropriate risk mitigation, capacity may be around 75%***</w:t>
      </w:r>
    </w:p>
    <w:p w:rsidR="00843EE7" w:rsidRPr="00182BB7" w:rsidRDefault="00843EE7" w:rsidP="003956E7">
      <w:pPr>
        <w:pStyle w:val="Listparagraphbullets"/>
        <w:rPr>
          <w:w w:val="105"/>
        </w:rPr>
      </w:pPr>
      <w:r w:rsidRPr="00182BB7">
        <w:rPr>
          <w:w w:val="105"/>
        </w:rPr>
        <w:t>Depending on event size, there may be different approval processes as determined by the jurisdiction. Larger events as defined by jurisdictions may be subject to an approval process, which may include a COVID event plan</w:t>
      </w:r>
    </w:p>
    <w:p w:rsidR="00843EE7" w:rsidRPr="00182BB7" w:rsidRDefault="00843EE7" w:rsidP="003956E7">
      <w:pPr>
        <w:pStyle w:val="Listparagraphbullets"/>
        <w:rPr>
          <w:w w:val="105"/>
        </w:rPr>
      </w:pPr>
      <w:r w:rsidRPr="00182BB7">
        <w:rPr>
          <w:w w:val="105"/>
        </w:rPr>
        <w:t>Reserved / allocated tickets for seated areas. General admission / standing tickets must have additional controls and are subject to jurisdictional approval</w:t>
      </w:r>
    </w:p>
    <w:p w:rsidR="00843EE7" w:rsidRPr="008D6A18" w:rsidRDefault="00843EE7" w:rsidP="001F0215">
      <w:pPr>
        <w:pStyle w:val="Heading3"/>
      </w:pPr>
      <w:r>
        <w:t>Step 3</w:t>
      </w:r>
      <w:r w:rsidR="003956E7">
        <w:t>—</w:t>
      </w:r>
      <w:r>
        <w:t>Mixed Space</w:t>
      </w:r>
      <w:r w:rsidRPr="008D6A18">
        <w:t xml:space="preserve"> Live Performance Venues</w:t>
      </w:r>
    </w:p>
    <w:p w:rsidR="00843EE7" w:rsidRPr="00182BB7" w:rsidRDefault="00843EE7" w:rsidP="003956E7">
      <w:pPr>
        <w:pStyle w:val="Listparagraphbullets"/>
        <w:rPr>
          <w:w w:val="105"/>
        </w:rPr>
      </w:pPr>
      <w:r w:rsidRPr="00182BB7">
        <w:rPr>
          <w:w w:val="105"/>
        </w:rPr>
        <w:t>Capacity is determined by the jurisdiction; if supported by appropriate risk mitigation, capacity may be around 75%***</w:t>
      </w:r>
    </w:p>
    <w:p w:rsidR="00843EE7" w:rsidRPr="00182BB7" w:rsidRDefault="00843EE7" w:rsidP="003956E7">
      <w:pPr>
        <w:pStyle w:val="Listparagraphbullets"/>
        <w:rPr>
          <w:w w:val="105"/>
        </w:rPr>
      </w:pPr>
      <w:r w:rsidRPr="00182BB7">
        <w:rPr>
          <w:w w:val="105"/>
        </w:rPr>
        <w:t>Different patron density limits can apply to indoor and outdoor spaces at the same event. Both spaces need to be managed to ensure compliance</w:t>
      </w:r>
    </w:p>
    <w:p w:rsidR="00843EE7" w:rsidRPr="00182BB7" w:rsidRDefault="00843EE7" w:rsidP="003956E7">
      <w:pPr>
        <w:pStyle w:val="Listparagraphbullets"/>
        <w:rPr>
          <w:w w:val="105"/>
        </w:rPr>
      </w:pPr>
      <w:r w:rsidRPr="00182BB7">
        <w:rPr>
          <w:w w:val="105"/>
        </w:rPr>
        <w:t>Depending on event size, there may be different approval processes as determined by the jurisdiction. Larger events as defined by jurisdictions may be subject to an approval process, which may include a COVID event plan</w:t>
      </w:r>
    </w:p>
    <w:p w:rsidR="003956E7" w:rsidRDefault="00843EE7" w:rsidP="003956E7">
      <w:pPr>
        <w:pStyle w:val="Listparagraphbullets"/>
        <w:rPr>
          <w:w w:val="105"/>
        </w:rPr>
      </w:pPr>
      <w:r w:rsidRPr="00182BB7">
        <w:rPr>
          <w:w w:val="105"/>
        </w:rPr>
        <w:t>Reserved / allocated tickets for seated areas. General admission / standing tickets must have additional controls and are subject to jurisdictional approval</w:t>
      </w:r>
    </w:p>
    <w:p w:rsidR="00843EE7" w:rsidRPr="005635C9" w:rsidRDefault="00843EE7" w:rsidP="001F0215">
      <w:pPr>
        <w:pStyle w:val="Heading3"/>
      </w:pPr>
      <w:r>
        <w:t>Step 3</w:t>
      </w:r>
      <w:r w:rsidR="003956E7">
        <w:t>—</w:t>
      </w:r>
      <w:r>
        <w:t xml:space="preserve">Indoor </w:t>
      </w:r>
      <w:r w:rsidRPr="008D6A18">
        <w:t>Live Performance Venues</w:t>
      </w:r>
    </w:p>
    <w:p w:rsidR="00843EE7" w:rsidRPr="00182BB7" w:rsidRDefault="00843EE7" w:rsidP="003956E7">
      <w:pPr>
        <w:pStyle w:val="Listparagraphbullets"/>
        <w:rPr>
          <w:w w:val="105"/>
        </w:rPr>
      </w:pPr>
      <w:r w:rsidRPr="00182BB7">
        <w:rPr>
          <w:w w:val="105"/>
        </w:rPr>
        <w:t>Capacity is determined by the jurisdiction; if supported by appropriate risk mitigation, capacity may be around 75%***</w:t>
      </w:r>
    </w:p>
    <w:p w:rsidR="00843EE7" w:rsidRPr="00182BB7" w:rsidRDefault="00843EE7" w:rsidP="003956E7">
      <w:pPr>
        <w:pStyle w:val="Listparagraphbullets"/>
        <w:rPr>
          <w:w w:val="105"/>
        </w:rPr>
      </w:pPr>
      <w:r w:rsidRPr="00182BB7">
        <w:rPr>
          <w:w w:val="105"/>
        </w:rPr>
        <w:t>Depending on event size, there may be different approval processes as determined by the jurisdiction. Larger events as defined by jurisdictions may be subject to an approval process, which may include a COVID event plan</w:t>
      </w:r>
    </w:p>
    <w:p w:rsidR="003956E7" w:rsidRDefault="00843EE7" w:rsidP="003956E7">
      <w:pPr>
        <w:pStyle w:val="Listparagraphbullets"/>
        <w:rPr>
          <w:w w:val="105"/>
        </w:rPr>
      </w:pPr>
      <w:r w:rsidRPr="00182BB7">
        <w:rPr>
          <w:w w:val="105"/>
        </w:rPr>
        <w:t>Reserved / allocated tickets for seated areas only</w:t>
      </w:r>
    </w:p>
    <w:p w:rsidR="00843EE7" w:rsidRDefault="00843EE7" w:rsidP="001F0215">
      <w:pPr>
        <w:pStyle w:val="Heading3"/>
      </w:pPr>
      <w:r>
        <w:lastRenderedPageBreak/>
        <w:t>Step 3</w:t>
      </w:r>
      <w:r w:rsidR="003956E7">
        <w:t>—</w:t>
      </w:r>
      <w:r>
        <w:t>Festivals</w:t>
      </w:r>
    </w:p>
    <w:p w:rsidR="00843EE7" w:rsidRPr="00182BB7" w:rsidRDefault="00843EE7" w:rsidP="003956E7">
      <w:pPr>
        <w:pStyle w:val="Listparagraphbullets"/>
        <w:rPr>
          <w:w w:val="105"/>
        </w:rPr>
      </w:pPr>
      <w:r w:rsidRPr="00182BB7">
        <w:rPr>
          <w:w w:val="105"/>
        </w:rPr>
        <w:t>Outdoor and indoor festivals with restrictions, subject to jurisdictional approval processes</w:t>
      </w:r>
    </w:p>
    <w:p w:rsidR="00843EE7" w:rsidRPr="00182BB7" w:rsidRDefault="00843EE7" w:rsidP="003956E7">
      <w:pPr>
        <w:pStyle w:val="Listparagraphbullets"/>
        <w:rPr>
          <w:color w:val="000000"/>
          <w:w w:val="105"/>
        </w:rPr>
      </w:pPr>
      <w:r w:rsidRPr="00182BB7">
        <w:rPr>
          <w:w w:val="105"/>
        </w:rPr>
        <w:t>Strict control measures, such as creating different zones across a site to reduce risk, will be required. Refer to</w:t>
      </w:r>
      <w:r w:rsidRPr="00182BB7">
        <w:rPr>
          <w:color w:val="1F5D9E"/>
          <w:w w:val="105"/>
        </w:rPr>
        <w:t xml:space="preserve"> </w:t>
      </w:r>
      <w:hyperlink r:id="rId22" w:history="1">
        <w:r w:rsidRPr="00182BB7">
          <w:rPr>
            <w:color w:val="1F5D9E"/>
            <w:w w:val="105"/>
            <w:u w:val="single"/>
          </w:rPr>
          <w:t>Safe Work Australia</w:t>
        </w:r>
        <w:r w:rsidRPr="00182BB7">
          <w:rPr>
            <w:color w:val="1F5D9E"/>
            <w:w w:val="105"/>
          </w:rPr>
          <w:t xml:space="preserve"> </w:t>
        </w:r>
      </w:hyperlink>
      <w:r w:rsidRPr="00182BB7">
        <w:rPr>
          <w:color w:val="000000"/>
          <w:w w:val="105"/>
        </w:rPr>
        <w:t>and relevant public</w:t>
      </w:r>
      <w:r w:rsidRPr="00182BB7">
        <w:rPr>
          <w:color w:val="000000"/>
          <w:spacing w:val="-6"/>
          <w:w w:val="105"/>
        </w:rPr>
        <w:t xml:space="preserve"> </w:t>
      </w:r>
      <w:r w:rsidRPr="00182BB7">
        <w:rPr>
          <w:color w:val="000000"/>
          <w:w w:val="105"/>
        </w:rPr>
        <w:t>health</w:t>
      </w:r>
      <w:r w:rsidRPr="00182BB7">
        <w:rPr>
          <w:color w:val="000000"/>
          <w:spacing w:val="-6"/>
          <w:w w:val="105"/>
        </w:rPr>
        <w:t xml:space="preserve"> </w:t>
      </w:r>
      <w:r w:rsidRPr="00182BB7">
        <w:rPr>
          <w:color w:val="000000"/>
          <w:w w:val="105"/>
        </w:rPr>
        <w:t>jurisdictions</w:t>
      </w:r>
      <w:r w:rsidRPr="00182BB7">
        <w:rPr>
          <w:color w:val="000000"/>
          <w:spacing w:val="-5"/>
          <w:w w:val="105"/>
        </w:rPr>
        <w:t xml:space="preserve"> </w:t>
      </w:r>
      <w:r w:rsidRPr="00182BB7">
        <w:rPr>
          <w:color w:val="000000"/>
          <w:w w:val="105"/>
        </w:rPr>
        <w:t>for</w:t>
      </w:r>
      <w:r w:rsidRPr="00182BB7">
        <w:rPr>
          <w:color w:val="000000"/>
          <w:spacing w:val="-6"/>
          <w:w w:val="105"/>
        </w:rPr>
        <w:t xml:space="preserve"> </w:t>
      </w:r>
      <w:r w:rsidRPr="00182BB7">
        <w:rPr>
          <w:color w:val="000000"/>
          <w:w w:val="105"/>
        </w:rPr>
        <w:t>guidance</w:t>
      </w:r>
      <w:r w:rsidRPr="00182BB7">
        <w:rPr>
          <w:color w:val="000000"/>
          <w:spacing w:val="-6"/>
          <w:w w:val="105"/>
        </w:rPr>
        <w:t xml:space="preserve"> </w:t>
      </w:r>
      <w:r w:rsidRPr="00182BB7">
        <w:rPr>
          <w:color w:val="000000"/>
          <w:w w:val="105"/>
        </w:rPr>
        <w:t>on</w:t>
      </w:r>
      <w:r w:rsidRPr="00182BB7">
        <w:rPr>
          <w:color w:val="000000"/>
          <w:spacing w:val="-5"/>
          <w:w w:val="105"/>
        </w:rPr>
        <w:t xml:space="preserve"> </w:t>
      </w:r>
      <w:r w:rsidRPr="00182BB7">
        <w:rPr>
          <w:color w:val="000000"/>
          <w:w w:val="105"/>
        </w:rPr>
        <w:t>appropriate</w:t>
      </w:r>
      <w:r w:rsidRPr="00182BB7">
        <w:rPr>
          <w:color w:val="000000"/>
          <w:spacing w:val="-6"/>
          <w:w w:val="105"/>
        </w:rPr>
        <w:t xml:space="preserve"> </w:t>
      </w:r>
      <w:r w:rsidRPr="00182BB7">
        <w:rPr>
          <w:color w:val="000000"/>
          <w:w w:val="105"/>
        </w:rPr>
        <w:t>risk</w:t>
      </w:r>
      <w:r w:rsidRPr="00182BB7">
        <w:rPr>
          <w:color w:val="000000"/>
          <w:spacing w:val="-5"/>
          <w:w w:val="105"/>
        </w:rPr>
        <w:t xml:space="preserve"> </w:t>
      </w:r>
      <w:r w:rsidRPr="00182BB7">
        <w:rPr>
          <w:color w:val="000000"/>
          <w:w w:val="105"/>
        </w:rPr>
        <w:t>assessment</w:t>
      </w:r>
      <w:r w:rsidRPr="00182BB7">
        <w:rPr>
          <w:color w:val="000000"/>
          <w:spacing w:val="-6"/>
          <w:w w:val="105"/>
        </w:rPr>
        <w:t xml:space="preserve"> </w:t>
      </w:r>
      <w:r w:rsidRPr="00182BB7">
        <w:rPr>
          <w:color w:val="000000"/>
          <w:spacing w:val="-5"/>
          <w:w w:val="105"/>
        </w:rPr>
        <w:t xml:space="preserve">and </w:t>
      </w:r>
      <w:r w:rsidRPr="00182BB7">
        <w:rPr>
          <w:color w:val="000000"/>
          <w:w w:val="105"/>
        </w:rPr>
        <w:t>management of live</w:t>
      </w:r>
      <w:r w:rsidRPr="00182BB7">
        <w:rPr>
          <w:color w:val="000000"/>
          <w:spacing w:val="-4"/>
          <w:w w:val="105"/>
        </w:rPr>
        <w:t xml:space="preserve"> </w:t>
      </w:r>
      <w:r w:rsidRPr="00182BB7">
        <w:rPr>
          <w:color w:val="000000"/>
          <w:w w:val="105"/>
        </w:rPr>
        <w:t>events</w:t>
      </w:r>
    </w:p>
    <w:p w:rsidR="003956E7" w:rsidRDefault="000E7AB3" w:rsidP="003956E7">
      <w:pPr>
        <w:pStyle w:val="Listparagraphbullets"/>
        <w:rPr>
          <w:color w:val="000000"/>
          <w:w w:val="105"/>
        </w:rPr>
      </w:pPr>
      <w:hyperlink r:id="rId23" w:history="1">
        <w:r w:rsidR="00843EE7" w:rsidRPr="00182BB7">
          <w:rPr>
            <w:w w:val="105"/>
          </w:rPr>
          <w:t>Large</w:t>
        </w:r>
        <w:r w:rsidR="00843EE7" w:rsidRPr="00182BB7">
          <w:rPr>
            <w:spacing w:val="-6"/>
            <w:w w:val="105"/>
          </w:rPr>
          <w:t xml:space="preserve"> </w:t>
        </w:r>
        <w:r w:rsidR="00843EE7" w:rsidRPr="00182BB7">
          <w:rPr>
            <w:w w:val="105"/>
          </w:rPr>
          <w:t>scale,</w:t>
        </w:r>
        <w:r w:rsidR="00843EE7" w:rsidRPr="00182BB7">
          <w:rPr>
            <w:spacing w:val="-5"/>
            <w:w w:val="105"/>
          </w:rPr>
          <w:t xml:space="preserve"> </w:t>
        </w:r>
        <w:r w:rsidR="00843EE7" w:rsidRPr="00182BB7">
          <w:rPr>
            <w:w w:val="105"/>
          </w:rPr>
          <w:t>unstructured,</w:t>
        </w:r>
        <w:r w:rsidR="00843EE7" w:rsidRPr="00182BB7">
          <w:rPr>
            <w:spacing w:val="-5"/>
            <w:w w:val="105"/>
          </w:rPr>
          <w:t xml:space="preserve"> </w:t>
        </w:r>
        <w:r w:rsidR="00843EE7" w:rsidRPr="00182BB7">
          <w:rPr>
            <w:w w:val="105"/>
          </w:rPr>
          <w:t>multi-day</w:t>
        </w:r>
        <w:r w:rsidR="00843EE7" w:rsidRPr="00182BB7">
          <w:rPr>
            <w:spacing w:val="-5"/>
            <w:w w:val="105"/>
          </w:rPr>
          <w:t xml:space="preserve"> </w:t>
        </w:r>
        <w:r w:rsidR="00843EE7" w:rsidRPr="00182BB7">
          <w:rPr>
            <w:w w:val="105"/>
          </w:rPr>
          <w:t>events,</w:t>
        </w:r>
        <w:r w:rsidR="00843EE7" w:rsidRPr="00182BB7">
          <w:rPr>
            <w:spacing w:val="-6"/>
            <w:w w:val="105"/>
          </w:rPr>
          <w:t xml:space="preserve"> </w:t>
        </w:r>
        <w:r w:rsidR="00843EE7" w:rsidRPr="00182BB7">
          <w:rPr>
            <w:w w:val="105"/>
          </w:rPr>
          <w:t>as</w:t>
        </w:r>
        <w:r w:rsidR="00843EE7" w:rsidRPr="00182BB7">
          <w:rPr>
            <w:spacing w:val="-5"/>
            <w:w w:val="105"/>
          </w:rPr>
          <w:t xml:space="preserve"> </w:t>
        </w:r>
        <w:r w:rsidR="00843EE7" w:rsidRPr="00182BB7">
          <w:rPr>
            <w:w w:val="105"/>
          </w:rPr>
          <w:t>described</w:t>
        </w:r>
        <w:r w:rsidR="00843EE7" w:rsidRPr="00182BB7">
          <w:rPr>
            <w:spacing w:val="-5"/>
            <w:w w:val="105"/>
          </w:rPr>
          <w:t xml:space="preserve"> </w:t>
        </w:r>
        <w:r w:rsidR="00843EE7" w:rsidRPr="00182BB7">
          <w:rPr>
            <w:w w:val="105"/>
          </w:rPr>
          <w:t>in</w:t>
        </w:r>
        <w:r w:rsidR="00843EE7" w:rsidRPr="00182BB7">
          <w:rPr>
            <w:spacing w:val="-5"/>
            <w:w w:val="105"/>
          </w:rPr>
          <w:t xml:space="preserve"> </w:t>
        </w:r>
        <w:r w:rsidR="00843EE7" w:rsidRPr="00182BB7">
          <w:rPr>
            <w:w w:val="105"/>
          </w:rPr>
          <w:t>the</w:t>
        </w:r>
        <w:r w:rsidR="00843EE7" w:rsidRPr="00182BB7">
          <w:rPr>
            <w:spacing w:val="-6"/>
            <w:w w:val="105"/>
          </w:rPr>
          <w:t xml:space="preserve"> </w:t>
        </w:r>
        <w:r w:rsidR="00843EE7" w:rsidRPr="00E36B31">
          <w:rPr>
            <w:color w:val="1F5D9E"/>
            <w:spacing w:val="-3"/>
            <w:w w:val="105"/>
            <w:u w:val="single"/>
          </w:rPr>
          <w:t xml:space="preserve">AHPPC </w:t>
        </w:r>
        <w:r w:rsidR="00843EE7" w:rsidRPr="00E36B31">
          <w:rPr>
            <w:color w:val="1F5D9E"/>
            <w:w w:val="105"/>
            <w:u w:val="single"/>
          </w:rPr>
          <w:t>statement on very high risk social environments</w:t>
        </w:r>
        <w:r w:rsidR="00843EE7" w:rsidRPr="00182BB7">
          <w:rPr>
            <w:color w:val="000000"/>
            <w:w w:val="105"/>
          </w:rPr>
          <w:t>, will require a COVID</w:t>
        </w:r>
      </w:hyperlink>
      <w:r w:rsidR="00843EE7" w:rsidRPr="00182BB7">
        <w:rPr>
          <w:color w:val="000000"/>
          <w:w w:val="105"/>
        </w:rPr>
        <w:t xml:space="preserve"> event</w:t>
      </w:r>
      <w:r w:rsidR="00843EE7" w:rsidRPr="00182BB7">
        <w:rPr>
          <w:color w:val="000000"/>
          <w:spacing w:val="-4"/>
          <w:w w:val="105"/>
        </w:rPr>
        <w:t xml:space="preserve"> </w:t>
      </w:r>
      <w:r w:rsidR="00843EE7" w:rsidRPr="00182BB7">
        <w:rPr>
          <w:color w:val="000000"/>
          <w:w w:val="105"/>
        </w:rPr>
        <w:t>plan</w:t>
      </w:r>
      <w:r w:rsidR="00843EE7" w:rsidRPr="00182BB7">
        <w:rPr>
          <w:color w:val="000000"/>
          <w:spacing w:val="-4"/>
          <w:w w:val="105"/>
        </w:rPr>
        <w:t xml:space="preserve"> </w:t>
      </w:r>
      <w:r w:rsidR="00843EE7" w:rsidRPr="00182BB7">
        <w:rPr>
          <w:color w:val="000000"/>
          <w:w w:val="105"/>
        </w:rPr>
        <w:t>and</w:t>
      </w:r>
      <w:r w:rsidR="00843EE7" w:rsidRPr="00182BB7">
        <w:rPr>
          <w:color w:val="000000"/>
          <w:spacing w:val="-4"/>
          <w:w w:val="105"/>
        </w:rPr>
        <w:t xml:space="preserve"> </w:t>
      </w:r>
      <w:r w:rsidR="00843EE7" w:rsidRPr="00182BB7">
        <w:rPr>
          <w:color w:val="000000"/>
          <w:w w:val="105"/>
        </w:rPr>
        <w:t>approval</w:t>
      </w:r>
      <w:r w:rsidR="00843EE7" w:rsidRPr="00182BB7">
        <w:rPr>
          <w:color w:val="000000"/>
          <w:spacing w:val="-4"/>
          <w:w w:val="105"/>
        </w:rPr>
        <w:t xml:space="preserve"> </w:t>
      </w:r>
      <w:r w:rsidR="00843EE7" w:rsidRPr="00182BB7">
        <w:rPr>
          <w:color w:val="000000"/>
          <w:w w:val="105"/>
        </w:rPr>
        <w:t>in</w:t>
      </w:r>
      <w:r w:rsidR="00843EE7" w:rsidRPr="00182BB7">
        <w:rPr>
          <w:color w:val="000000"/>
          <w:spacing w:val="-4"/>
          <w:w w:val="105"/>
        </w:rPr>
        <w:t xml:space="preserve"> </w:t>
      </w:r>
      <w:r w:rsidR="00843EE7" w:rsidRPr="00182BB7">
        <w:rPr>
          <w:color w:val="000000"/>
          <w:w w:val="105"/>
        </w:rPr>
        <w:t>accordance</w:t>
      </w:r>
      <w:r w:rsidR="00843EE7" w:rsidRPr="00182BB7">
        <w:rPr>
          <w:color w:val="000000"/>
          <w:spacing w:val="-4"/>
          <w:w w:val="105"/>
        </w:rPr>
        <w:t xml:space="preserve"> </w:t>
      </w:r>
      <w:r w:rsidR="00843EE7" w:rsidRPr="00182BB7">
        <w:rPr>
          <w:color w:val="000000"/>
          <w:w w:val="105"/>
        </w:rPr>
        <w:t>with</w:t>
      </w:r>
      <w:r w:rsidR="00843EE7" w:rsidRPr="00182BB7">
        <w:rPr>
          <w:color w:val="000000"/>
          <w:spacing w:val="-3"/>
          <w:w w:val="105"/>
        </w:rPr>
        <w:t xml:space="preserve"> </w:t>
      </w:r>
      <w:r w:rsidR="00843EE7" w:rsidRPr="00182BB7">
        <w:rPr>
          <w:color w:val="000000"/>
          <w:w w:val="105"/>
        </w:rPr>
        <w:t>jurisdictional</w:t>
      </w:r>
      <w:r w:rsidR="00843EE7" w:rsidRPr="00182BB7">
        <w:rPr>
          <w:color w:val="000000"/>
          <w:spacing w:val="-4"/>
          <w:w w:val="105"/>
        </w:rPr>
        <w:t xml:space="preserve"> </w:t>
      </w:r>
      <w:r w:rsidR="00843EE7" w:rsidRPr="00182BB7">
        <w:rPr>
          <w:color w:val="000000"/>
          <w:w w:val="105"/>
        </w:rPr>
        <w:t>processes</w:t>
      </w:r>
    </w:p>
    <w:p w:rsidR="00843EE7" w:rsidRDefault="00843EE7" w:rsidP="001F0215">
      <w:pPr>
        <w:pStyle w:val="Heading3"/>
      </w:pPr>
      <w:r>
        <w:t>Step 3</w:t>
      </w:r>
      <w:r w:rsidR="003956E7">
        <w:t>—</w:t>
      </w:r>
      <w:r>
        <w:t>Domestic Touring</w:t>
      </w:r>
    </w:p>
    <w:p w:rsidR="003956E7" w:rsidRDefault="00843EE7" w:rsidP="003956E7">
      <w:pPr>
        <w:pStyle w:val="Listparagraphbullets"/>
        <w:rPr>
          <w:w w:val="105"/>
        </w:rPr>
      </w:pPr>
      <w:r w:rsidRPr="001A06A6">
        <w:rPr>
          <w:w w:val="105"/>
        </w:rPr>
        <w:t>Interstate touring possible subject to opening of domestic borders</w:t>
      </w:r>
    </w:p>
    <w:p w:rsidR="00843EE7" w:rsidRDefault="00843EE7" w:rsidP="001F0215">
      <w:pPr>
        <w:pStyle w:val="Heading3"/>
      </w:pPr>
      <w:r>
        <w:t>Step 3</w:t>
      </w:r>
      <w:r w:rsidR="003956E7">
        <w:t>—</w:t>
      </w:r>
      <w:r>
        <w:t>International Touring</w:t>
      </w:r>
    </w:p>
    <w:p w:rsidR="003956E7" w:rsidRDefault="00843EE7" w:rsidP="003956E7">
      <w:pPr>
        <w:pStyle w:val="Listparagraphbullets"/>
        <w:rPr>
          <w:w w:val="105"/>
        </w:rPr>
      </w:pPr>
      <w:r w:rsidRPr="00182BB7">
        <w:rPr>
          <w:w w:val="105"/>
        </w:rPr>
        <w:t>Quarantine free international travel possible only between jurisdictions that have been deemed low risk and have agreements in place. Travel will require jurisdictional approval</w:t>
      </w:r>
    </w:p>
    <w:p w:rsidR="00843EE7" w:rsidRPr="00846173" w:rsidRDefault="00843EE7" w:rsidP="001F0215">
      <w:pPr>
        <w:pBdr>
          <w:top w:val="single" w:sz="18" w:space="1" w:color="auto"/>
          <w:left w:val="single" w:sz="18" w:space="4" w:color="auto"/>
          <w:bottom w:val="single" w:sz="18" w:space="1" w:color="auto"/>
          <w:right w:val="single" w:sz="18" w:space="4" w:color="auto"/>
        </w:pBdr>
        <w:spacing w:after="120"/>
      </w:pPr>
      <w:r w:rsidRPr="00846173">
        <w:rPr>
          <w:iCs/>
          <w:w w:val="105"/>
        </w:rPr>
        <w:t>*</w:t>
      </w:r>
      <w:r w:rsidR="00E743BC">
        <w:rPr>
          <w:iCs/>
          <w:w w:val="105"/>
        </w:rPr>
        <w:t xml:space="preserve"> </w:t>
      </w:r>
      <w:r w:rsidRPr="00846173">
        <w:rPr>
          <w:iCs/>
          <w:w w:val="105"/>
        </w:rPr>
        <w:t xml:space="preserve">Refer to the </w:t>
      </w:r>
      <w:r w:rsidRPr="00846173">
        <w:t xml:space="preserve">Framework for National Reopening </w:t>
      </w:r>
      <w:r w:rsidRPr="00846173">
        <w:rPr>
          <w:color w:val="292829"/>
        </w:rPr>
        <w:t xml:space="preserve">and </w:t>
      </w:r>
      <w:r w:rsidRPr="00846173">
        <w:t>Common Operating Picture</w:t>
      </w:r>
      <w:r w:rsidR="001F0215">
        <w:t>.</w:t>
      </w:r>
    </w:p>
    <w:p w:rsidR="00843EE7" w:rsidRPr="00846173" w:rsidRDefault="00843EE7" w:rsidP="001F0215">
      <w:pPr>
        <w:pBdr>
          <w:top w:val="single" w:sz="18" w:space="1" w:color="auto"/>
          <w:left w:val="single" w:sz="18" w:space="4" w:color="auto"/>
          <w:bottom w:val="single" w:sz="18" w:space="1" w:color="auto"/>
          <w:right w:val="single" w:sz="18" w:space="4" w:color="auto"/>
        </w:pBdr>
        <w:spacing w:after="120"/>
        <w:rPr>
          <w:w w:val="105"/>
        </w:rPr>
      </w:pPr>
      <w:r w:rsidRPr="00846173">
        <w:rPr>
          <w:w w:val="105"/>
        </w:rPr>
        <w:t>** Some venues and events with COVIDSafe controls in place may be deemed safe to operate above</w:t>
      </w:r>
      <w:r w:rsidRPr="00846173">
        <w:rPr>
          <w:spacing w:val="-5"/>
          <w:w w:val="105"/>
        </w:rPr>
        <w:t xml:space="preserve"> </w:t>
      </w:r>
      <w:r w:rsidRPr="00846173">
        <w:rPr>
          <w:w w:val="105"/>
        </w:rPr>
        <w:t>50%.</w:t>
      </w:r>
      <w:r w:rsidRPr="00846173">
        <w:rPr>
          <w:spacing w:val="-4"/>
          <w:w w:val="105"/>
        </w:rPr>
        <w:t xml:space="preserve"> </w:t>
      </w:r>
      <w:r w:rsidRPr="00846173">
        <w:rPr>
          <w:w w:val="105"/>
        </w:rPr>
        <w:t>This</w:t>
      </w:r>
      <w:r w:rsidRPr="00846173">
        <w:rPr>
          <w:spacing w:val="-5"/>
          <w:w w:val="105"/>
        </w:rPr>
        <w:t xml:space="preserve"> </w:t>
      </w:r>
      <w:r w:rsidRPr="00846173">
        <w:rPr>
          <w:w w:val="105"/>
        </w:rPr>
        <w:t>will</w:t>
      </w:r>
      <w:r w:rsidRPr="00846173">
        <w:rPr>
          <w:spacing w:val="-4"/>
          <w:w w:val="105"/>
        </w:rPr>
        <w:t xml:space="preserve"> </w:t>
      </w:r>
      <w:r w:rsidRPr="00846173">
        <w:rPr>
          <w:w w:val="105"/>
        </w:rPr>
        <w:t>be</w:t>
      </w:r>
      <w:r w:rsidRPr="00846173">
        <w:rPr>
          <w:spacing w:val="-4"/>
          <w:w w:val="105"/>
        </w:rPr>
        <w:t xml:space="preserve"> </w:t>
      </w:r>
      <w:r w:rsidRPr="00846173">
        <w:rPr>
          <w:w w:val="105"/>
        </w:rPr>
        <w:t>assessed</w:t>
      </w:r>
      <w:r w:rsidRPr="00846173">
        <w:rPr>
          <w:spacing w:val="-5"/>
          <w:w w:val="105"/>
        </w:rPr>
        <w:t xml:space="preserve"> </w:t>
      </w:r>
      <w:r w:rsidRPr="00846173">
        <w:rPr>
          <w:w w:val="105"/>
        </w:rPr>
        <w:t>on</w:t>
      </w:r>
      <w:r w:rsidRPr="00846173">
        <w:rPr>
          <w:spacing w:val="-4"/>
          <w:w w:val="105"/>
        </w:rPr>
        <w:t xml:space="preserve"> </w:t>
      </w:r>
      <w:r w:rsidRPr="00846173">
        <w:rPr>
          <w:w w:val="105"/>
        </w:rPr>
        <w:t>a</w:t>
      </w:r>
      <w:r w:rsidRPr="00846173">
        <w:rPr>
          <w:spacing w:val="-5"/>
          <w:w w:val="105"/>
        </w:rPr>
        <w:t xml:space="preserve"> </w:t>
      </w:r>
      <w:r w:rsidRPr="00846173">
        <w:rPr>
          <w:w w:val="105"/>
        </w:rPr>
        <w:t>case</w:t>
      </w:r>
      <w:r w:rsidRPr="00846173">
        <w:rPr>
          <w:spacing w:val="-4"/>
          <w:w w:val="105"/>
        </w:rPr>
        <w:t xml:space="preserve"> </w:t>
      </w:r>
      <w:r w:rsidRPr="00846173">
        <w:rPr>
          <w:w w:val="105"/>
        </w:rPr>
        <w:t>by</w:t>
      </w:r>
      <w:r w:rsidRPr="00846173">
        <w:rPr>
          <w:spacing w:val="-4"/>
          <w:w w:val="105"/>
        </w:rPr>
        <w:t xml:space="preserve"> </w:t>
      </w:r>
      <w:r w:rsidRPr="00846173">
        <w:rPr>
          <w:w w:val="105"/>
        </w:rPr>
        <w:t>case</w:t>
      </w:r>
      <w:r w:rsidRPr="00846173">
        <w:rPr>
          <w:spacing w:val="-5"/>
          <w:w w:val="105"/>
        </w:rPr>
        <w:t xml:space="preserve"> </w:t>
      </w:r>
      <w:r w:rsidRPr="00846173">
        <w:rPr>
          <w:w w:val="105"/>
        </w:rPr>
        <w:t>basis</w:t>
      </w:r>
      <w:r w:rsidRPr="00846173">
        <w:rPr>
          <w:spacing w:val="-4"/>
          <w:w w:val="105"/>
        </w:rPr>
        <w:t xml:space="preserve"> </w:t>
      </w:r>
      <w:r w:rsidRPr="00846173">
        <w:rPr>
          <w:w w:val="105"/>
        </w:rPr>
        <w:t>and</w:t>
      </w:r>
      <w:r w:rsidRPr="00846173">
        <w:rPr>
          <w:spacing w:val="-5"/>
          <w:w w:val="105"/>
        </w:rPr>
        <w:t xml:space="preserve"> </w:t>
      </w:r>
      <w:r w:rsidRPr="00846173">
        <w:rPr>
          <w:w w:val="105"/>
        </w:rPr>
        <w:t>is</w:t>
      </w:r>
      <w:r w:rsidRPr="00846173">
        <w:rPr>
          <w:spacing w:val="-4"/>
          <w:w w:val="105"/>
        </w:rPr>
        <w:t xml:space="preserve"> </w:t>
      </w:r>
      <w:r w:rsidRPr="00846173">
        <w:rPr>
          <w:w w:val="105"/>
        </w:rPr>
        <w:t>subject</w:t>
      </w:r>
      <w:r w:rsidRPr="00846173">
        <w:rPr>
          <w:spacing w:val="-4"/>
          <w:w w:val="105"/>
        </w:rPr>
        <w:t xml:space="preserve"> </w:t>
      </w:r>
      <w:r w:rsidRPr="00846173">
        <w:rPr>
          <w:w w:val="105"/>
        </w:rPr>
        <w:t>to</w:t>
      </w:r>
      <w:r w:rsidRPr="00846173">
        <w:rPr>
          <w:spacing w:val="-5"/>
          <w:w w:val="105"/>
        </w:rPr>
        <w:t xml:space="preserve"> </w:t>
      </w:r>
      <w:r w:rsidRPr="00846173">
        <w:rPr>
          <w:w w:val="105"/>
        </w:rPr>
        <w:t>jurisdictional</w:t>
      </w:r>
      <w:r w:rsidRPr="00846173">
        <w:rPr>
          <w:spacing w:val="-4"/>
          <w:w w:val="105"/>
        </w:rPr>
        <w:t xml:space="preserve"> </w:t>
      </w:r>
      <w:r w:rsidRPr="00846173">
        <w:rPr>
          <w:w w:val="105"/>
        </w:rPr>
        <w:t>approval.</w:t>
      </w:r>
    </w:p>
    <w:p w:rsidR="003956E7" w:rsidRDefault="00843EE7" w:rsidP="003956E7">
      <w:pPr>
        <w:pBdr>
          <w:top w:val="single" w:sz="18" w:space="1" w:color="auto"/>
          <w:left w:val="single" w:sz="18" w:space="4" w:color="auto"/>
          <w:bottom w:val="single" w:sz="18" w:space="1" w:color="auto"/>
          <w:right w:val="single" w:sz="18" w:space="4" w:color="auto"/>
        </w:pBdr>
        <w:rPr>
          <w:w w:val="105"/>
        </w:rPr>
      </w:pPr>
      <w:r w:rsidRPr="00846173">
        <w:rPr>
          <w:w w:val="105"/>
        </w:rPr>
        <w:t xml:space="preserve">*** Some venues and events with </w:t>
      </w:r>
      <w:hyperlink r:id="rId24" w:history="1">
        <w:r w:rsidRPr="00846173">
          <w:rPr>
            <w:w w:val="105"/>
          </w:rPr>
          <w:t xml:space="preserve">COVIDSafe controls in place may be deemed </w:t>
        </w:r>
      </w:hyperlink>
      <w:r w:rsidRPr="00846173">
        <w:rPr>
          <w:w w:val="105"/>
        </w:rPr>
        <w:t>safe to operate above 75%. This will be assessed on a case by case basis and is subject to jurisdictional approval.</w:t>
      </w:r>
    </w:p>
    <w:p w:rsidR="00843EE7" w:rsidRDefault="00843EE7" w:rsidP="001F0215">
      <w:pPr>
        <w:pStyle w:val="Heading2"/>
      </w:pPr>
      <w:r>
        <w:t>Outlook</w:t>
      </w:r>
    </w:p>
    <w:p w:rsidR="00843EE7" w:rsidRPr="008D6A18" w:rsidRDefault="00843EE7" w:rsidP="001F0215">
      <w:pPr>
        <w:pStyle w:val="Heading3"/>
      </w:pPr>
      <w:r>
        <w:t>Outlook</w:t>
      </w:r>
      <w:r w:rsidR="003956E7">
        <w:t>—</w:t>
      </w:r>
      <w:r w:rsidRPr="008D6A18">
        <w:t>Outdoor Live Performance Venues</w:t>
      </w:r>
    </w:p>
    <w:p w:rsidR="00843EE7" w:rsidRPr="00182BB7" w:rsidRDefault="00843EE7" w:rsidP="003956E7">
      <w:pPr>
        <w:pStyle w:val="Listparagraphbullets"/>
        <w:rPr>
          <w:w w:val="105"/>
        </w:rPr>
      </w:pPr>
      <w:r w:rsidRPr="00182BB7">
        <w:rPr>
          <w:b/>
          <w:w w:val="105"/>
        </w:rPr>
        <w:t>Outdoor venues operating at near to full capacity</w:t>
      </w:r>
      <w:r w:rsidRPr="00182BB7">
        <w:rPr>
          <w:w w:val="105"/>
        </w:rPr>
        <w:t xml:space="preserve"> with restrictions, subject to jurisdictional limits</w:t>
      </w:r>
    </w:p>
    <w:p w:rsidR="00843EE7" w:rsidRPr="00182BB7" w:rsidRDefault="00843EE7" w:rsidP="003956E7">
      <w:pPr>
        <w:pStyle w:val="Listparagraphbullets"/>
        <w:rPr>
          <w:w w:val="105"/>
        </w:rPr>
      </w:pPr>
      <w:r w:rsidRPr="00182BB7">
        <w:rPr>
          <w:w w:val="105"/>
        </w:rPr>
        <w:t>Both seated and standing patrons permitted</w:t>
      </w:r>
    </w:p>
    <w:p w:rsidR="003956E7" w:rsidRDefault="00843EE7" w:rsidP="003956E7">
      <w:pPr>
        <w:pStyle w:val="Listparagraphbullets"/>
        <w:rPr>
          <w:w w:val="105"/>
        </w:rPr>
      </w:pPr>
      <w:r w:rsidRPr="00182BB7">
        <w:rPr>
          <w:w w:val="105"/>
        </w:rPr>
        <w:t>All events ticketed</w:t>
      </w:r>
    </w:p>
    <w:p w:rsidR="00843EE7" w:rsidRDefault="00843EE7" w:rsidP="001F0215">
      <w:pPr>
        <w:pStyle w:val="Heading3"/>
      </w:pPr>
      <w:r>
        <w:t>Outlook</w:t>
      </w:r>
      <w:r w:rsidR="003956E7">
        <w:t>—</w:t>
      </w:r>
      <w:r>
        <w:t>Mixed Space</w:t>
      </w:r>
      <w:r w:rsidRPr="008D6A18">
        <w:t xml:space="preserve"> Live Performance Venues</w:t>
      </w:r>
    </w:p>
    <w:p w:rsidR="00843EE7" w:rsidRPr="001C1BD9" w:rsidRDefault="00843EE7" w:rsidP="003956E7">
      <w:pPr>
        <w:pStyle w:val="Listparagraphbullets"/>
        <w:rPr>
          <w:b/>
          <w:w w:val="105"/>
        </w:rPr>
      </w:pPr>
      <w:r w:rsidRPr="001C1BD9">
        <w:rPr>
          <w:b/>
          <w:w w:val="105"/>
        </w:rPr>
        <w:t xml:space="preserve">Mixed spaces operating at near to full capacity </w:t>
      </w:r>
      <w:r w:rsidRPr="001C1BD9">
        <w:rPr>
          <w:w w:val="105"/>
        </w:rPr>
        <w:t>with restrictions, subject to jurisdictional limits</w:t>
      </w:r>
    </w:p>
    <w:p w:rsidR="00843EE7" w:rsidRPr="001C1BD9" w:rsidRDefault="00843EE7" w:rsidP="003956E7">
      <w:pPr>
        <w:pStyle w:val="Listparagraphbullets"/>
        <w:rPr>
          <w:w w:val="105"/>
        </w:rPr>
      </w:pPr>
      <w:r w:rsidRPr="001C1BD9">
        <w:rPr>
          <w:w w:val="105"/>
        </w:rPr>
        <w:t>Both seated and standing patrons permitted</w:t>
      </w:r>
    </w:p>
    <w:p w:rsidR="003956E7" w:rsidRDefault="00843EE7" w:rsidP="003956E7">
      <w:pPr>
        <w:pStyle w:val="Listparagraphbullets"/>
        <w:rPr>
          <w:w w:val="105"/>
        </w:rPr>
      </w:pPr>
      <w:r w:rsidRPr="001C1BD9">
        <w:rPr>
          <w:w w:val="105"/>
        </w:rPr>
        <w:t>All events ticketed</w:t>
      </w:r>
    </w:p>
    <w:p w:rsidR="00843EE7" w:rsidRPr="005635C9" w:rsidRDefault="00843EE7" w:rsidP="001F0215">
      <w:pPr>
        <w:pStyle w:val="Heading3"/>
      </w:pPr>
      <w:r>
        <w:t>Outlook</w:t>
      </w:r>
      <w:r w:rsidR="003956E7">
        <w:t>—</w:t>
      </w:r>
      <w:r>
        <w:t xml:space="preserve">Indoor </w:t>
      </w:r>
      <w:r w:rsidRPr="008D6A18">
        <w:t>Live Performance Venues</w:t>
      </w:r>
    </w:p>
    <w:p w:rsidR="00843EE7" w:rsidRPr="001C1BD9" w:rsidRDefault="00843EE7" w:rsidP="003956E7">
      <w:pPr>
        <w:pStyle w:val="Listparagraphbullets"/>
        <w:rPr>
          <w:b/>
          <w:w w:val="105"/>
        </w:rPr>
      </w:pPr>
      <w:r w:rsidRPr="001C1BD9">
        <w:rPr>
          <w:b/>
          <w:w w:val="105"/>
        </w:rPr>
        <w:t xml:space="preserve">Indoor venues operating at near to full capacity </w:t>
      </w:r>
      <w:r w:rsidRPr="001C1BD9">
        <w:rPr>
          <w:w w:val="105"/>
        </w:rPr>
        <w:t>with restrictions, subject to jurisdictional limits</w:t>
      </w:r>
    </w:p>
    <w:p w:rsidR="00843EE7" w:rsidRPr="001C1BD9" w:rsidRDefault="00843EE7" w:rsidP="003956E7">
      <w:pPr>
        <w:pStyle w:val="Listparagraphbullets"/>
        <w:rPr>
          <w:w w:val="105"/>
        </w:rPr>
      </w:pPr>
      <w:r w:rsidRPr="001C1BD9">
        <w:rPr>
          <w:w w:val="105"/>
        </w:rPr>
        <w:t>Seated patrons permitted</w:t>
      </w:r>
    </w:p>
    <w:p w:rsidR="003956E7" w:rsidRDefault="00843EE7" w:rsidP="003956E7">
      <w:pPr>
        <w:pStyle w:val="Listparagraphbullets"/>
        <w:rPr>
          <w:w w:val="105"/>
        </w:rPr>
      </w:pPr>
      <w:r w:rsidRPr="001C1BD9">
        <w:rPr>
          <w:w w:val="105"/>
        </w:rPr>
        <w:lastRenderedPageBreak/>
        <w:t>All events ticketed</w:t>
      </w:r>
    </w:p>
    <w:p w:rsidR="00843EE7" w:rsidRDefault="00843EE7" w:rsidP="001F0215">
      <w:pPr>
        <w:pStyle w:val="Heading3"/>
      </w:pPr>
      <w:r>
        <w:t>Outlook</w:t>
      </w:r>
      <w:r w:rsidR="003956E7">
        <w:t>—</w:t>
      </w:r>
      <w:r>
        <w:t>Festivals</w:t>
      </w:r>
    </w:p>
    <w:p w:rsidR="003956E7" w:rsidRDefault="00843EE7" w:rsidP="003956E7">
      <w:pPr>
        <w:pStyle w:val="Listparagraphbullets"/>
        <w:rPr>
          <w:b/>
          <w:w w:val="105"/>
        </w:rPr>
      </w:pPr>
      <w:r w:rsidRPr="001C1BD9">
        <w:rPr>
          <w:b/>
          <w:w w:val="105"/>
        </w:rPr>
        <w:t xml:space="preserve">Festivals resuming </w:t>
      </w:r>
      <w:r w:rsidRPr="001C1BD9">
        <w:rPr>
          <w:w w:val="105"/>
        </w:rPr>
        <w:t>with restrictions, subject to jurisdictional limits, risk assessment and approval</w:t>
      </w:r>
    </w:p>
    <w:p w:rsidR="00843EE7" w:rsidRDefault="00843EE7" w:rsidP="001F0215">
      <w:pPr>
        <w:pStyle w:val="Heading3"/>
      </w:pPr>
      <w:r>
        <w:t>Outlook</w:t>
      </w:r>
      <w:r w:rsidR="003956E7">
        <w:t>—Domestic Touring</w:t>
      </w:r>
    </w:p>
    <w:p w:rsidR="003956E7" w:rsidRDefault="00843EE7" w:rsidP="003956E7">
      <w:pPr>
        <w:pStyle w:val="Listparagraphbullets"/>
        <w:rPr>
          <w:w w:val="105"/>
        </w:rPr>
      </w:pPr>
      <w:r w:rsidRPr="001C1BD9">
        <w:rPr>
          <w:w w:val="105"/>
        </w:rPr>
        <w:t>Domestic touring resuming without border restrictions</w:t>
      </w:r>
    </w:p>
    <w:p w:rsidR="00843EE7" w:rsidRDefault="00843EE7" w:rsidP="001F0215">
      <w:pPr>
        <w:pStyle w:val="Heading3"/>
      </w:pPr>
      <w:r>
        <w:t>Outlook</w:t>
      </w:r>
      <w:r w:rsidR="003956E7">
        <w:t>—</w:t>
      </w:r>
      <w:r>
        <w:t xml:space="preserve">International Touring </w:t>
      </w:r>
    </w:p>
    <w:p w:rsidR="003956E7" w:rsidRDefault="00843EE7" w:rsidP="00E369A4">
      <w:pPr>
        <w:pStyle w:val="Listparagraphbullets"/>
        <w:rPr>
          <w:w w:val="105"/>
        </w:rPr>
      </w:pPr>
      <w:r w:rsidRPr="001C1BD9">
        <w:rPr>
          <w:w w:val="105"/>
        </w:rPr>
        <w:t>International touring with restrictions where agreements are in place</w:t>
      </w:r>
    </w:p>
    <w:p w:rsidR="00E369A4" w:rsidRDefault="00E369A4" w:rsidP="00E369A4">
      <w:pPr>
        <w:rPr>
          <w:w w:val="105"/>
        </w:rPr>
        <w:sectPr w:rsidR="00E369A4" w:rsidSect="001F0215">
          <w:type w:val="continuous"/>
          <w:pgSz w:w="11906" w:h="16838"/>
          <w:pgMar w:top="993" w:right="991" w:bottom="1135" w:left="1440" w:header="0" w:footer="0" w:gutter="0"/>
          <w:cols w:space="708"/>
          <w:docGrid w:linePitch="360"/>
        </w:sectPr>
      </w:pPr>
    </w:p>
    <w:p w:rsidR="00862EBE" w:rsidRPr="00862EBE" w:rsidRDefault="00862EBE" w:rsidP="001F0215">
      <w:pPr>
        <w:pStyle w:val="Heading2"/>
        <w:spacing w:after="0"/>
      </w:pPr>
      <w:r w:rsidRPr="00862EBE">
        <w:t>Roadmap for reactivating live performance venues and events</w:t>
      </w:r>
      <w:r>
        <w:t xml:space="preserve"> image</w:t>
      </w:r>
    </w:p>
    <w:p w:rsidR="00E369A4" w:rsidRPr="00E369A4" w:rsidRDefault="00CA65F3" w:rsidP="00E369A4">
      <w:pPr>
        <w:rPr>
          <w:w w:val="105"/>
        </w:rPr>
      </w:pPr>
      <w:bookmarkStart w:id="0" w:name="_GoBack"/>
      <w:r>
        <w:rPr>
          <w:noProof/>
          <w:lang w:eastAsia="en-AU"/>
        </w:rPr>
        <w:drawing>
          <wp:inline distT="0" distB="0" distL="0" distR="0" wp14:anchorId="330D7C73" wp14:editId="27A1F344">
            <wp:extent cx="8946490" cy="6315324"/>
            <wp:effectExtent l="0" t="0" r="7620" b="0"/>
            <wp:docPr id="3" name="Picture 3" descr="Please refer to the content from pages one to five in this document which describes the content in this image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952078" cy="6319269"/>
                    </a:xfrm>
                    <a:prstGeom prst="rect">
                      <a:avLst/>
                    </a:prstGeom>
                  </pic:spPr>
                </pic:pic>
              </a:graphicData>
            </a:graphic>
          </wp:inline>
        </w:drawing>
      </w:r>
      <w:bookmarkEnd w:id="0"/>
    </w:p>
    <w:sectPr w:rsidR="00E369A4" w:rsidRPr="00E369A4" w:rsidSect="00862EBE">
      <w:pgSz w:w="16838" w:h="11906" w:orient="landscape"/>
      <w:pgMar w:top="426" w:right="1985" w:bottom="991"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F8" w:rsidRDefault="008103F8" w:rsidP="00FC413F">
      <w:pPr>
        <w:spacing w:after="0"/>
      </w:pPr>
      <w:r>
        <w:separator/>
      </w:r>
    </w:p>
  </w:endnote>
  <w:endnote w:type="continuationSeparator" w:id="0">
    <w:p w:rsidR="008103F8" w:rsidRDefault="008103F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Muli SemiBold">
    <w:panose1 w:val="00000700000000000000"/>
    <w:charset w:val="00"/>
    <w:family w:val="auto"/>
    <w:pitch w:val="variable"/>
    <w:sig w:usb0="20000007" w:usb1="00000001" w:usb2="00000000" w:usb3="00000000" w:csb0="00000193" w:csb1="00000000"/>
  </w:font>
  <w:font w:name="Muli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83" w:rsidRPr="00FC413F" w:rsidRDefault="00C80A83" w:rsidP="00C80A83">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rsidR="00C80A83" w:rsidRDefault="00C80A83" w:rsidP="00C80A83">
    <w:pPr>
      <w:pStyle w:val="Footer"/>
      <w:tabs>
        <w:tab w:val="clear" w:pos="4513"/>
        <w:tab w:val="clear" w:pos="9026"/>
        <w:tab w:val="right" w:pos="9356"/>
      </w:tabs>
      <w:spacing w:after="240"/>
      <w:ind w:hanging="567"/>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0E7AB3">
      <w:rPr>
        <w:rFonts w:cs="Segoe UI"/>
        <w:noProof/>
        <w:szCs w:val="18"/>
      </w:rPr>
      <w:t>5</w:t>
    </w:r>
    <w:r>
      <w:rPr>
        <w:rFonts w:cs="Segoe UI"/>
        <w:szCs w:val="18"/>
      </w:rPr>
      <w:fldChar w:fldCharType="end"/>
    </w:r>
    <w:r w:rsidRPr="00FC413F">
      <w:rPr>
        <w:rFonts w:cs="Segoe UI"/>
        <w:noProof/>
        <w:szCs w:val="18"/>
      </w:rPr>
      <w:t>.</w:t>
    </w:r>
    <w:r w:rsidRPr="00FC413F">
      <w:rPr>
        <w:rFonts w:cs="Segoe UI"/>
        <w:noProof/>
        <w:szCs w:val="18"/>
      </w:rPr>
      <w:tab/>
    </w:r>
    <w:r w:rsidR="00CA65F3">
      <w:rPr>
        <w:rFonts w:cs="Segoe UI"/>
        <w:noProof/>
        <w:szCs w:val="18"/>
      </w:rPr>
      <w:t xml:space="preserve">Roadmap </w:t>
    </w:r>
    <w:r w:rsidRPr="00C80A83">
      <w:rPr>
        <w:rFonts w:cs="Segoe UI"/>
        <w:noProof/>
        <w:szCs w:val="18"/>
      </w:rPr>
      <w:t>for reactivating live performance venues and events</w:t>
    </w:r>
  </w:p>
  <w:p w:rsidR="00C80A83" w:rsidRPr="00FC413F" w:rsidRDefault="00C80A83" w:rsidP="00C80A83">
    <w:pPr>
      <w:pStyle w:val="Footer"/>
      <w:tabs>
        <w:tab w:val="clear" w:pos="4513"/>
        <w:tab w:val="clear" w:pos="9026"/>
        <w:tab w:val="right" w:pos="9356"/>
      </w:tabs>
      <w:ind w:left="-1418"/>
      <w:rPr>
        <w:rFonts w:cs="Segoe UI"/>
        <w:szCs w:val="18"/>
      </w:rPr>
    </w:pPr>
    <w:r>
      <w:rPr>
        <w:noProof/>
        <w:lang w:eastAsia="en-AU"/>
      </w:rPr>
      <mc:AlternateContent>
        <mc:Choice Requires="wps">
          <w:drawing>
            <wp:inline distT="0" distB="0" distL="0" distR="0" wp14:anchorId="2366092A" wp14:editId="1C7A538C">
              <wp:extent cx="7527851" cy="200335"/>
              <wp:effectExtent l="0" t="0" r="0" b="9525"/>
              <wp:docPr id="4" name="Rectangle 4" descr="Decorative bar."/>
              <wp:cNvGraphicFramePr/>
              <a:graphic xmlns:a="http://schemas.openxmlformats.org/drawingml/2006/main">
                <a:graphicData uri="http://schemas.microsoft.com/office/word/2010/wordprocessingShape">
                  <wps:wsp>
                    <wps:cNvSpPr/>
                    <wps:spPr>
                      <a:xfrm>
                        <a:off x="0" y="0"/>
                        <a:ext cx="7527851" cy="200335"/>
                      </a:xfrm>
                      <a:prstGeom prst="rect">
                        <a:avLst/>
                      </a:prstGeom>
                      <a:solidFill>
                        <a:srgbClr val="D4E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16CE85" id="Rectangle 4" o:spid="_x0000_s1026" alt="Decorative bar." style="width:592.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" fillcolor="#d4e5f7"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69C" w:rsidRPr="00FC413F" w:rsidRDefault="0061269C" w:rsidP="0061269C">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w:t>
    </w:r>
    <w:r w:rsidR="00E369A4">
      <w:rPr>
        <w:rFonts w:cs="Segoe UI"/>
        <w:szCs w:val="18"/>
      </w:rPr>
      <w:t>_______________________________________________________</w:t>
    </w:r>
    <w:r w:rsidRPr="00FC413F">
      <w:rPr>
        <w:rFonts w:cs="Segoe UI"/>
        <w:szCs w:val="18"/>
      </w:rPr>
      <w:t>______</w:t>
    </w:r>
  </w:p>
  <w:p w:rsidR="0061269C" w:rsidRDefault="0061269C" w:rsidP="00C80A83">
    <w:pPr>
      <w:pStyle w:val="Footer"/>
      <w:tabs>
        <w:tab w:val="clear" w:pos="4513"/>
        <w:tab w:val="clear" w:pos="9026"/>
        <w:tab w:val="right" w:pos="9356"/>
      </w:tabs>
      <w:spacing w:after="240"/>
      <w:ind w:hanging="567"/>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0E7AB3">
      <w:rPr>
        <w:rFonts w:cs="Segoe UI"/>
        <w:noProof/>
        <w:szCs w:val="18"/>
      </w:rPr>
      <w:t>1</w:t>
    </w:r>
    <w:r>
      <w:rPr>
        <w:rFonts w:cs="Segoe UI"/>
        <w:szCs w:val="18"/>
      </w:rPr>
      <w:fldChar w:fldCharType="end"/>
    </w:r>
    <w:r w:rsidRPr="00FC413F">
      <w:rPr>
        <w:rFonts w:cs="Segoe UI"/>
        <w:noProof/>
        <w:szCs w:val="18"/>
      </w:rPr>
      <w:t>.</w:t>
    </w:r>
    <w:r w:rsidRPr="00FC413F">
      <w:rPr>
        <w:rFonts w:cs="Segoe UI"/>
        <w:noProof/>
        <w:szCs w:val="18"/>
      </w:rPr>
      <w:tab/>
    </w:r>
    <w:r w:rsidR="00610574">
      <w:rPr>
        <w:rFonts w:cs="Segoe UI"/>
        <w:noProof/>
        <w:szCs w:val="18"/>
      </w:rPr>
      <w:t>Roadmap</w:t>
    </w:r>
    <w:r w:rsidR="00C80A83" w:rsidRPr="00C80A83">
      <w:rPr>
        <w:rFonts w:cs="Segoe UI"/>
        <w:noProof/>
        <w:szCs w:val="18"/>
      </w:rPr>
      <w:t xml:space="preserve"> for reactivating live performance venues and events</w:t>
    </w:r>
  </w:p>
  <w:p w:rsidR="00C80A83" w:rsidRPr="00FC413F" w:rsidRDefault="00C80A83" w:rsidP="00C80A83">
    <w:pPr>
      <w:pStyle w:val="Footer"/>
      <w:tabs>
        <w:tab w:val="clear" w:pos="4513"/>
        <w:tab w:val="clear" w:pos="9026"/>
        <w:tab w:val="right" w:pos="9356"/>
      </w:tabs>
      <w:ind w:left="-1418"/>
      <w:rPr>
        <w:rFonts w:cs="Segoe UI"/>
        <w:szCs w:val="18"/>
      </w:rPr>
    </w:pPr>
    <w:r>
      <w:rPr>
        <w:noProof/>
        <w:lang w:eastAsia="en-AU"/>
      </w:rPr>
      <mc:AlternateContent>
        <mc:Choice Requires="wps">
          <w:drawing>
            <wp:inline distT="0" distB="0" distL="0" distR="0">
              <wp:extent cx="10781413" cy="178760"/>
              <wp:effectExtent l="0" t="0" r="1270" b="0"/>
              <wp:docPr id="10" name="Rectangle 10" descr="Decorative bar."/>
              <wp:cNvGraphicFramePr/>
              <a:graphic xmlns:a="http://schemas.openxmlformats.org/drawingml/2006/main">
                <a:graphicData uri="http://schemas.microsoft.com/office/word/2010/wordprocessingShape">
                  <wps:wsp>
                    <wps:cNvSpPr/>
                    <wps:spPr>
                      <a:xfrm>
                        <a:off x="0" y="0"/>
                        <a:ext cx="10781413" cy="178760"/>
                      </a:xfrm>
                      <a:prstGeom prst="rect">
                        <a:avLst/>
                      </a:prstGeom>
                      <a:solidFill>
                        <a:srgbClr val="D4E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B908E1" id="Rectangle 10" o:spid="_x0000_s1026" alt="Decorative bar." style="width:848.9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" fillcolor="#d4e5f7"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F8" w:rsidRDefault="008103F8" w:rsidP="00FC413F">
      <w:pPr>
        <w:spacing w:after="0"/>
      </w:pPr>
      <w:r>
        <w:separator/>
      </w:r>
    </w:p>
  </w:footnote>
  <w:footnote w:type="continuationSeparator" w:id="0">
    <w:p w:rsidR="008103F8" w:rsidRDefault="008103F8"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23" w:hanging="114"/>
      </w:pPr>
      <w:rPr>
        <w:rFonts w:ascii="Symbol" w:hAnsi="Symbol"/>
        <w:b w:val="0"/>
        <w:w w:val="104"/>
        <w:sz w:val="15"/>
      </w:rPr>
    </w:lvl>
    <w:lvl w:ilvl="1">
      <w:numFmt w:val="bullet"/>
      <w:lvlText w:val="•"/>
      <w:lvlJc w:val="left"/>
      <w:pPr>
        <w:ind w:left="588" w:hanging="114"/>
      </w:pPr>
    </w:lvl>
    <w:lvl w:ilvl="2">
      <w:numFmt w:val="bullet"/>
      <w:lvlText w:val="•"/>
      <w:lvlJc w:val="left"/>
      <w:pPr>
        <w:ind w:left="956" w:hanging="114"/>
      </w:pPr>
    </w:lvl>
    <w:lvl w:ilvl="3">
      <w:numFmt w:val="bullet"/>
      <w:lvlText w:val="•"/>
      <w:lvlJc w:val="left"/>
      <w:pPr>
        <w:ind w:left="1324" w:hanging="114"/>
      </w:pPr>
    </w:lvl>
    <w:lvl w:ilvl="4">
      <w:numFmt w:val="bullet"/>
      <w:lvlText w:val="•"/>
      <w:lvlJc w:val="left"/>
      <w:pPr>
        <w:ind w:left="1693" w:hanging="114"/>
      </w:pPr>
    </w:lvl>
    <w:lvl w:ilvl="5">
      <w:numFmt w:val="bullet"/>
      <w:lvlText w:val="•"/>
      <w:lvlJc w:val="left"/>
      <w:pPr>
        <w:ind w:left="2061" w:hanging="114"/>
      </w:pPr>
    </w:lvl>
    <w:lvl w:ilvl="6">
      <w:numFmt w:val="bullet"/>
      <w:lvlText w:val="•"/>
      <w:lvlJc w:val="left"/>
      <w:pPr>
        <w:ind w:left="2429" w:hanging="114"/>
      </w:pPr>
    </w:lvl>
    <w:lvl w:ilvl="7">
      <w:numFmt w:val="bullet"/>
      <w:lvlText w:val="•"/>
      <w:lvlJc w:val="left"/>
      <w:pPr>
        <w:ind w:left="2798" w:hanging="114"/>
      </w:pPr>
    </w:lvl>
    <w:lvl w:ilvl="8">
      <w:numFmt w:val="bullet"/>
      <w:lvlText w:val="•"/>
      <w:lvlJc w:val="left"/>
      <w:pPr>
        <w:ind w:left="3166" w:hanging="114"/>
      </w:pPr>
    </w:lvl>
  </w:abstractNum>
  <w:abstractNum w:abstractNumId="1" w15:restartNumberingAfterBreak="0">
    <w:nsid w:val="00000406"/>
    <w:multiLevelType w:val="multilevel"/>
    <w:tmpl w:val="00000889"/>
    <w:lvl w:ilvl="0">
      <w:numFmt w:val="bullet"/>
      <w:lvlText w:val=""/>
      <w:lvlJc w:val="left"/>
      <w:pPr>
        <w:ind w:left="223" w:hanging="114"/>
      </w:pPr>
      <w:rPr>
        <w:rFonts w:ascii="Symbol" w:hAnsi="Symbol"/>
        <w:b w:val="0"/>
        <w:w w:val="104"/>
        <w:sz w:val="15"/>
      </w:rPr>
    </w:lvl>
    <w:lvl w:ilvl="1">
      <w:numFmt w:val="bullet"/>
      <w:lvlText w:val="•"/>
      <w:lvlJc w:val="left"/>
      <w:pPr>
        <w:ind w:left="588" w:hanging="114"/>
      </w:pPr>
    </w:lvl>
    <w:lvl w:ilvl="2">
      <w:numFmt w:val="bullet"/>
      <w:lvlText w:val="•"/>
      <w:lvlJc w:val="left"/>
      <w:pPr>
        <w:ind w:left="956" w:hanging="114"/>
      </w:pPr>
    </w:lvl>
    <w:lvl w:ilvl="3">
      <w:numFmt w:val="bullet"/>
      <w:lvlText w:val="•"/>
      <w:lvlJc w:val="left"/>
      <w:pPr>
        <w:ind w:left="1324" w:hanging="114"/>
      </w:pPr>
    </w:lvl>
    <w:lvl w:ilvl="4">
      <w:numFmt w:val="bullet"/>
      <w:lvlText w:val="•"/>
      <w:lvlJc w:val="left"/>
      <w:pPr>
        <w:ind w:left="1693" w:hanging="114"/>
      </w:pPr>
    </w:lvl>
    <w:lvl w:ilvl="5">
      <w:numFmt w:val="bullet"/>
      <w:lvlText w:val="•"/>
      <w:lvlJc w:val="left"/>
      <w:pPr>
        <w:ind w:left="2061" w:hanging="114"/>
      </w:pPr>
    </w:lvl>
    <w:lvl w:ilvl="6">
      <w:numFmt w:val="bullet"/>
      <w:lvlText w:val="•"/>
      <w:lvlJc w:val="left"/>
      <w:pPr>
        <w:ind w:left="2429" w:hanging="114"/>
      </w:pPr>
    </w:lvl>
    <w:lvl w:ilvl="7">
      <w:numFmt w:val="bullet"/>
      <w:lvlText w:val="•"/>
      <w:lvlJc w:val="left"/>
      <w:pPr>
        <w:ind w:left="2798" w:hanging="114"/>
      </w:pPr>
    </w:lvl>
    <w:lvl w:ilvl="8">
      <w:numFmt w:val="bullet"/>
      <w:lvlText w:val="•"/>
      <w:lvlJc w:val="left"/>
      <w:pPr>
        <w:ind w:left="3166" w:hanging="114"/>
      </w:pPr>
    </w:lvl>
  </w:abstractNum>
  <w:abstractNum w:abstractNumId="2" w15:restartNumberingAfterBreak="0">
    <w:nsid w:val="0000040A"/>
    <w:multiLevelType w:val="multilevel"/>
    <w:tmpl w:val="0000088D"/>
    <w:lvl w:ilvl="0">
      <w:numFmt w:val="bullet"/>
      <w:lvlText w:val=""/>
      <w:lvlJc w:val="left"/>
      <w:pPr>
        <w:ind w:left="223" w:hanging="114"/>
      </w:pPr>
      <w:rPr>
        <w:rFonts w:ascii="Symbol" w:hAnsi="Symbol"/>
        <w:b w:val="0"/>
        <w:w w:val="104"/>
        <w:sz w:val="15"/>
      </w:rPr>
    </w:lvl>
    <w:lvl w:ilvl="1">
      <w:numFmt w:val="bullet"/>
      <w:lvlText w:val="•"/>
      <w:lvlJc w:val="left"/>
      <w:pPr>
        <w:ind w:left="588" w:hanging="114"/>
      </w:pPr>
    </w:lvl>
    <w:lvl w:ilvl="2">
      <w:numFmt w:val="bullet"/>
      <w:lvlText w:val="•"/>
      <w:lvlJc w:val="left"/>
      <w:pPr>
        <w:ind w:left="956" w:hanging="114"/>
      </w:pPr>
    </w:lvl>
    <w:lvl w:ilvl="3">
      <w:numFmt w:val="bullet"/>
      <w:lvlText w:val="•"/>
      <w:lvlJc w:val="left"/>
      <w:pPr>
        <w:ind w:left="1324" w:hanging="114"/>
      </w:pPr>
    </w:lvl>
    <w:lvl w:ilvl="4">
      <w:numFmt w:val="bullet"/>
      <w:lvlText w:val="•"/>
      <w:lvlJc w:val="left"/>
      <w:pPr>
        <w:ind w:left="1693" w:hanging="114"/>
      </w:pPr>
    </w:lvl>
    <w:lvl w:ilvl="5">
      <w:numFmt w:val="bullet"/>
      <w:lvlText w:val="•"/>
      <w:lvlJc w:val="left"/>
      <w:pPr>
        <w:ind w:left="2061" w:hanging="114"/>
      </w:pPr>
    </w:lvl>
    <w:lvl w:ilvl="6">
      <w:numFmt w:val="bullet"/>
      <w:lvlText w:val="•"/>
      <w:lvlJc w:val="left"/>
      <w:pPr>
        <w:ind w:left="2429" w:hanging="114"/>
      </w:pPr>
    </w:lvl>
    <w:lvl w:ilvl="7">
      <w:numFmt w:val="bullet"/>
      <w:lvlText w:val="•"/>
      <w:lvlJc w:val="left"/>
      <w:pPr>
        <w:ind w:left="2798" w:hanging="114"/>
      </w:pPr>
    </w:lvl>
    <w:lvl w:ilvl="8">
      <w:numFmt w:val="bullet"/>
      <w:lvlText w:val="•"/>
      <w:lvlJc w:val="left"/>
      <w:pPr>
        <w:ind w:left="3166" w:hanging="114"/>
      </w:pPr>
    </w:lvl>
  </w:abstractNum>
  <w:abstractNum w:abstractNumId="3" w15:restartNumberingAfterBreak="0">
    <w:nsid w:val="0000040F"/>
    <w:multiLevelType w:val="multilevel"/>
    <w:tmpl w:val="00000892"/>
    <w:lvl w:ilvl="0">
      <w:numFmt w:val="bullet"/>
      <w:lvlText w:val=""/>
      <w:lvlJc w:val="left"/>
      <w:pPr>
        <w:ind w:left="223" w:hanging="114"/>
      </w:pPr>
      <w:rPr>
        <w:rFonts w:ascii="Symbol" w:hAnsi="Symbol"/>
        <w:b w:val="0"/>
        <w:w w:val="104"/>
        <w:sz w:val="15"/>
      </w:rPr>
    </w:lvl>
    <w:lvl w:ilvl="1">
      <w:numFmt w:val="bullet"/>
      <w:lvlText w:val="•"/>
      <w:lvlJc w:val="left"/>
      <w:pPr>
        <w:ind w:left="786" w:hanging="114"/>
      </w:pPr>
    </w:lvl>
    <w:lvl w:ilvl="2">
      <w:numFmt w:val="bullet"/>
      <w:lvlText w:val="•"/>
      <w:lvlJc w:val="left"/>
      <w:pPr>
        <w:ind w:left="1353" w:hanging="114"/>
      </w:pPr>
    </w:lvl>
    <w:lvl w:ilvl="3">
      <w:numFmt w:val="bullet"/>
      <w:lvlText w:val="•"/>
      <w:lvlJc w:val="left"/>
      <w:pPr>
        <w:ind w:left="1920" w:hanging="114"/>
      </w:pPr>
    </w:lvl>
    <w:lvl w:ilvl="4">
      <w:numFmt w:val="bullet"/>
      <w:lvlText w:val="•"/>
      <w:lvlJc w:val="left"/>
      <w:pPr>
        <w:ind w:left="2486" w:hanging="114"/>
      </w:pPr>
    </w:lvl>
    <w:lvl w:ilvl="5">
      <w:numFmt w:val="bullet"/>
      <w:lvlText w:val="•"/>
      <w:lvlJc w:val="left"/>
      <w:pPr>
        <w:ind w:left="3053" w:hanging="114"/>
      </w:pPr>
    </w:lvl>
    <w:lvl w:ilvl="6">
      <w:numFmt w:val="bullet"/>
      <w:lvlText w:val="•"/>
      <w:lvlJc w:val="left"/>
      <w:pPr>
        <w:ind w:left="3620" w:hanging="114"/>
      </w:pPr>
    </w:lvl>
    <w:lvl w:ilvl="7">
      <w:numFmt w:val="bullet"/>
      <w:lvlText w:val="•"/>
      <w:lvlJc w:val="left"/>
      <w:pPr>
        <w:ind w:left="4186" w:hanging="114"/>
      </w:pPr>
    </w:lvl>
    <w:lvl w:ilvl="8">
      <w:numFmt w:val="bullet"/>
      <w:lvlText w:val="•"/>
      <w:lvlJc w:val="left"/>
      <w:pPr>
        <w:ind w:left="4753" w:hanging="114"/>
      </w:pPr>
    </w:lvl>
  </w:abstractNum>
  <w:abstractNum w:abstractNumId="4" w15:restartNumberingAfterBreak="0">
    <w:nsid w:val="00000410"/>
    <w:multiLevelType w:val="multilevel"/>
    <w:tmpl w:val="00000893"/>
    <w:lvl w:ilvl="0">
      <w:numFmt w:val="bullet"/>
      <w:lvlText w:val=""/>
      <w:lvlJc w:val="left"/>
      <w:pPr>
        <w:ind w:left="223" w:hanging="114"/>
      </w:pPr>
      <w:rPr>
        <w:rFonts w:ascii="Symbol" w:hAnsi="Symbol"/>
        <w:b w:val="0"/>
        <w:w w:val="104"/>
        <w:sz w:val="15"/>
      </w:rPr>
    </w:lvl>
    <w:lvl w:ilvl="1">
      <w:numFmt w:val="bullet"/>
      <w:lvlText w:val="•"/>
      <w:lvlJc w:val="left"/>
      <w:pPr>
        <w:ind w:left="769" w:hanging="114"/>
      </w:pPr>
    </w:lvl>
    <w:lvl w:ilvl="2">
      <w:numFmt w:val="bullet"/>
      <w:lvlText w:val="•"/>
      <w:lvlJc w:val="left"/>
      <w:pPr>
        <w:ind w:left="1319" w:hanging="114"/>
      </w:pPr>
    </w:lvl>
    <w:lvl w:ilvl="3">
      <w:numFmt w:val="bullet"/>
      <w:lvlText w:val="•"/>
      <w:lvlJc w:val="left"/>
      <w:pPr>
        <w:ind w:left="1869" w:hanging="114"/>
      </w:pPr>
    </w:lvl>
    <w:lvl w:ilvl="4">
      <w:numFmt w:val="bullet"/>
      <w:lvlText w:val="•"/>
      <w:lvlJc w:val="left"/>
      <w:pPr>
        <w:ind w:left="2418" w:hanging="114"/>
      </w:pPr>
    </w:lvl>
    <w:lvl w:ilvl="5">
      <w:numFmt w:val="bullet"/>
      <w:lvlText w:val="•"/>
      <w:lvlJc w:val="left"/>
      <w:pPr>
        <w:ind w:left="2968" w:hanging="114"/>
      </w:pPr>
    </w:lvl>
    <w:lvl w:ilvl="6">
      <w:numFmt w:val="bullet"/>
      <w:lvlText w:val="•"/>
      <w:lvlJc w:val="left"/>
      <w:pPr>
        <w:ind w:left="3518" w:hanging="114"/>
      </w:pPr>
    </w:lvl>
    <w:lvl w:ilvl="7">
      <w:numFmt w:val="bullet"/>
      <w:lvlText w:val="•"/>
      <w:lvlJc w:val="left"/>
      <w:pPr>
        <w:ind w:left="4067" w:hanging="114"/>
      </w:pPr>
    </w:lvl>
    <w:lvl w:ilvl="8">
      <w:numFmt w:val="bullet"/>
      <w:lvlText w:val="•"/>
      <w:lvlJc w:val="left"/>
      <w:pPr>
        <w:ind w:left="4617" w:hanging="114"/>
      </w:pPr>
    </w:lvl>
  </w:abstractNum>
  <w:abstractNum w:abstractNumId="5" w15:restartNumberingAfterBreak="0">
    <w:nsid w:val="24E92756"/>
    <w:multiLevelType w:val="hybridMultilevel"/>
    <w:tmpl w:val="7AACB4D4"/>
    <w:lvl w:ilvl="0" w:tplc="BB0C39E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443C31"/>
    <w:multiLevelType w:val="hybridMultilevel"/>
    <w:tmpl w:val="CED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F8"/>
    <w:rsid w:val="0003502E"/>
    <w:rsid w:val="000740FB"/>
    <w:rsid w:val="00090E62"/>
    <w:rsid w:val="000A0A61"/>
    <w:rsid w:val="000A4F65"/>
    <w:rsid w:val="000C0244"/>
    <w:rsid w:val="000E7AB3"/>
    <w:rsid w:val="00105DA4"/>
    <w:rsid w:val="00133A45"/>
    <w:rsid w:val="001965B6"/>
    <w:rsid w:val="001F0215"/>
    <w:rsid w:val="00204A64"/>
    <w:rsid w:val="00217C11"/>
    <w:rsid w:val="00236F1B"/>
    <w:rsid w:val="002538E3"/>
    <w:rsid w:val="00261FFA"/>
    <w:rsid w:val="00272982"/>
    <w:rsid w:val="00287C7E"/>
    <w:rsid w:val="002A5AB5"/>
    <w:rsid w:val="002F1A23"/>
    <w:rsid w:val="00300077"/>
    <w:rsid w:val="00310148"/>
    <w:rsid w:val="00323710"/>
    <w:rsid w:val="00342348"/>
    <w:rsid w:val="003956E7"/>
    <w:rsid w:val="003B6D01"/>
    <w:rsid w:val="003D71C5"/>
    <w:rsid w:val="00501EF2"/>
    <w:rsid w:val="00556307"/>
    <w:rsid w:val="005D038B"/>
    <w:rsid w:val="005E55BD"/>
    <w:rsid w:val="00610574"/>
    <w:rsid w:val="0061269C"/>
    <w:rsid w:val="00630D43"/>
    <w:rsid w:val="006452B1"/>
    <w:rsid w:val="006542FA"/>
    <w:rsid w:val="00691FA2"/>
    <w:rsid w:val="006D43C7"/>
    <w:rsid w:val="00772C27"/>
    <w:rsid w:val="00790F25"/>
    <w:rsid w:val="00793843"/>
    <w:rsid w:val="0079788A"/>
    <w:rsid w:val="007B68AB"/>
    <w:rsid w:val="008103F8"/>
    <w:rsid w:val="00822DBF"/>
    <w:rsid w:val="00843EE7"/>
    <w:rsid w:val="00862EBE"/>
    <w:rsid w:val="008A7B93"/>
    <w:rsid w:val="008F24DE"/>
    <w:rsid w:val="00912D17"/>
    <w:rsid w:val="009276A3"/>
    <w:rsid w:val="009279AE"/>
    <w:rsid w:val="00952D17"/>
    <w:rsid w:val="00985DD5"/>
    <w:rsid w:val="00A042D1"/>
    <w:rsid w:val="00A4759C"/>
    <w:rsid w:val="00A5600C"/>
    <w:rsid w:val="00A82DAF"/>
    <w:rsid w:val="00B5393D"/>
    <w:rsid w:val="00BB3D46"/>
    <w:rsid w:val="00BC0598"/>
    <w:rsid w:val="00BE59D0"/>
    <w:rsid w:val="00C0417C"/>
    <w:rsid w:val="00C36E40"/>
    <w:rsid w:val="00C62177"/>
    <w:rsid w:val="00C80A83"/>
    <w:rsid w:val="00CA65F3"/>
    <w:rsid w:val="00CB5287"/>
    <w:rsid w:val="00CC2067"/>
    <w:rsid w:val="00D47BFD"/>
    <w:rsid w:val="00D53A66"/>
    <w:rsid w:val="00D64922"/>
    <w:rsid w:val="00E369A4"/>
    <w:rsid w:val="00E36B31"/>
    <w:rsid w:val="00E7227D"/>
    <w:rsid w:val="00E743BC"/>
    <w:rsid w:val="00E76BC6"/>
    <w:rsid w:val="00E80E04"/>
    <w:rsid w:val="00EE6EE8"/>
    <w:rsid w:val="00F61FA1"/>
    <w:rsid w:val="00F76211"/>
    <w:rsid w:val="00F814AD"/>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E67B9"/>
  <w15:chartTrackingRefBased/>
  <w15:docId w15:val="{F59D14FF-BC79-4000-8C8D-A1F55770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F8"/>
    <w:pPr>
      <w:spacing w:line="240" w:lineRule="auto"/>
    </w:pPr>
    <w:rPr>
      <w:rFonts w:ascii="Segoe UI" w:hAnsi="Segoe UI"/>
      <w:sz w:val="21"/>
    </w:rPr>
  </w:style>
  <w:style w:type="paragraph" w:styleId="Heading1">
    <w:name w:val="heading 1"/>
    <w:basedOn w:val="Normal"/>
    <w:next w:val="Normal"/>
    <w:link w:val="Heading1Char"/>
    <w:uiPriority w:val="9"/>
    <w:qFormat/>
    <w:rsid w:val="003956E7"/>
    <w:pPr>
      <w:keepNext/>
      <w:keepLines/>
      <w:shd w:val="clear" w:color="auto" w:fill="FFFFFF" w:themeFill="background1"/>
      <w:spacing w:before="120" w:after="240"/>
      <w:outlineLvl w:val="0"/>
    </w:pPr>
    <w:rPr>
      <w:rFonts w:ascii="Segoe UI Semibold" w:eastAsiaTheme="majorEastAsia" w:hAnsi="Segoe UI Semibold" w:cs="Segoe UI Semibold"/>
      <w:color w:val="242852"/>
      <w:sz w:val="40"/>
      <w:szCs w:val="40"/>
    </w:rPr>
  </w:style>
  <w:style w:type="paragraph" w:styleId="Heading2">
    <w:name w:val="heading 2"/>
    <w:basedOn w:val="Heading1"/>
    <w:next w:val="Normal"/>
    <w:link w:val="Heading2Char"/>
    <w:uiPriority w:val="9"/>
    <w:unhideWhenUsed/>
    <w:qFormat/>
    <w:rsid w:val="001F0215"/>
    <w:pPr>
      <w:spacing w:before="0" w:after="120"/>
      <w:outlineLvl w:val="1"/>
    </w:pPr>
    <w:rPr>
      <w:w w:val="105"/>
      <w:sz w:val="36"/>
      <w:szCs w:val="36"/>
    </w:rPr>
  </w:style>
  <w:style w:type="paragraph" w:styleId="Heading3">
    <w:name w:val="heading 3"/>
    <w:basedOn w:val="Heading2"/>
    <w:next w:val="Normal"/>
    <w:link w:val="Heading3Char"/>
    <w:uiPriority w:val="9"/>
    <w:unhideWhenUsed/>
    <w:qFormat/>
    <w:rsid w:val="003956E7"/>
    <w:pPr>
      <w:outlineLvl w:val="2"/>
    </w:pPr>
    <w:rPr>
      <w:sz w:val="28"/>
      <w:szCs w:val="28"/>
    </w:rPr>
  </w:style>
  <w:style w:type="paragraph" w:styleId="Heading4">
    <w:name w:val="heading 4"/>
    <w:basedOn w:val="Normal"/>
    <w:next w:val="Normal"/>
    <w:link w:val="Heading4Char"/>
    <w:uiPriority w:val="9"/>
    <w:unhideWhenUsed/>
    <w:qFormat/>
    <w:rsid w:val="00C36E40"/>
    <w:pPr>
      <w:keepNext/>
      <w:spacing w:before="120" w:after="120"/>
      <w:outlineLvl w:val="3"/>
    </w:pPr>
    <w:rPr>
      <w:rFonts w:ascii="Segoe UI Semibold" w:eastAsia="MingLiU" w:hAnsi="Segoe UI Semibold" w:cs="Segoe UI Semibold"/>
      <w:color w:val="4C5564"/>
      <w:sz w:val="26"/>
      <w:szCs w:val="26"/>
    </w:rPr>
  </w:style>
  <w:style w:type="paragraph" w:styleId="Heading5">
    <w:name w:val="heading 5"/>
    <w:basedOn w:val="Normal"/>
    <w:next w:val="Normal"/>
    <w:link w:val="Heading5Char"/>
    <w:uiPriority w:val="9"/>
    <w:unhideWhenUsed/>
    <w:qFormat/>
    <w:rsid w:val="00C36E40"/>
    <w:pPr>
      <w:keepNext/>
      <w:spacing w:before="120" w:after="120"/>
      <w:outlineLvl w:val="4"/>
    </w:pPr>
    <w:rPr>
      <w:rFonts w:ascii="Segoe UI Semibold" w:eastAsia="MingLiU" w:hAnsi="Segoe UI Semibold" w:cs="Segoe UI Semibold"/>
      <w:color w:val="4C5564"/>
    </w:rPr>
  </w:style>
  <w:style w:type="paragraph" w:styleId="Heading6">
    <w:name w:val="heading 6"/>
    <w:basedOn w:val="Normal"/>
    <w:next w:val="Normal"/>
    <w:link w:val="Heading6Char"/>
    <w:uiPriority w:val="9"/>
    <w:unhideWhenUsed/>
    <w:qFormat/>
    <w:rsid w:val="00C36E40"/>
    <w:pPr>
      <w:keepNext/>
      <w:spacing w:before="120" w:after="120"/>
      <w:outlineLvl w:val="5"/>
    </w:pPr>
    <w:rPr>
      <w:rFonts w:ascii="Segoe UI Semibold" w:eastAsia="MingLiU" w:hAnsi="Segoe UI Semibold" w:cs="Segoe UI Semibold"/>
      <w:color w:val="4C5564"/>
      <w:sz w:val="20"/>
      <w:szCs w:val="20"/>
    </w:rPr>
  </w:style>
  <w:style w:type="paragraph" w:styleId="Heading7">
    <w:name w:val="heading 7"/>
    <w:basedOn w:val="Normal"/>
    <w:next w:val="Normal"/>
    <w:link w:val="Heading7Char"/>
    <w:uiPriority w:val="9"/>
    <w:unhideWhenUsed/>
    <w:qFormat/>
    <w:rsid w:val="00C36E40"/>
    <w:pPr>
      <w:keepNext/>
      <w:keepLines/>
      <w:spacing w:before="40" w:after="0"/>
      <w:outlineLvl w:val="6"/>
    </w:pPr>
    <w:rPr>
      <w:rFonts w:ascii="Segoe UI Semibold" w:eastAsiaTheme="majorEastAsia" w:hAnsi="Segoe UI Semibold" w:cs="Segoe UI Semibold"/>
      <w:iCs/>
      <w:color w:val="4C5564"/>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956E7"/>
    <w:rPr>
      <w:rFonts w:ascii="Segoe UI Semibold" w:eastAsiaTheme="majorEastAsia" w:hAnsi="Segoe UI Semibold" w:cs="Segoe UI Semibold"/>
      <w:color w:val="242852"/>
      <w:sz w:val="40"/>
      <w:szCs w:val="40"/>
      <w:shd w:val="clear" w:color="auto" w:fill="FFFFFF" w:themeFill="background1"/>
    </w:rPr>
  </w:style>
  <w:style w:type="character" w:customStyle="1" w:styleId="Heading2Char">
    <w:name w:val="Heading 2 Char"/>
    <w:basedOn w:val="DefaultParagraphFont"/>
    <w:link w:val="Heading2"/>
    <w:uiPriority w:val="9"/>
    <w:rsid w:val="001F0215"/>
    <w:rPr>
      <w:rFonts w:ascii="Segoe UI Semibold" w:eastAsiaTheme="majorEastAsia" w:hAnsi="Segoe UI Semibold" w:cs="Segoe UI Semibold"/>
      <w:color w:val="242852"/>
      <w:w w:val="105"/>
      <w:sz w:val="36"/>
      <w:szCs w:val="36"/>
      <w:shd w:val="clear" w:color="auto" w:fill="FFFFFF" w:themeFill="background1"/>
    </w:rPr>
  </w:style>
  <w:style w:type="character" w:customStyle="1" w:styleId="Heading3Char">
    <w:name w:val="Heading 3 Char"/>
    <w:basedOn w:val="DefaultParagraphFont"/>
    <w:link w:val="Heading3"/>
    <w:uiPriority w:val="9"/>
    <w:rsid w:val="003956E7"/>
    <w:rPr>
      <w:rFonts w:ascii="Segoe UI Semibold" w:eastAsiaTheme="majorEastAsia" w:hAnsi="Segoe UI Semibold" w:cs="Segoe UI Semibold"/>
      <w:color w:val="242852"/>
      <w:w w:val="105"/>
      <w:sz w:val="28"/>
      <w:szCs w:val="28"/>
      <w:shd w:val="clear" w:color="auto" w:fill="FFFFFF" w:themeFill="background1"/>
    </w:rPr>
  </w:style>
  <w:style w:type="character" w:customStyle="1" w:styleId="Heading4Char">
    <w:name w:val="Heading 4 Char"/>
    <w:basedOn w:val="DefaultParagraphFont"/>
    <w:link w:val="Heading4"/>
    <w:uiPriority w:val="9"/>
    <w:rsid w:val="00C36E40"/>
    <w:rPr>
      <w:rFonts w:ascii="Segoe UI Semibold" w:eastAsia="MingLiU" w:hAnsi="Segoe UI Semibold" w:cs="Segoe UI Semibold"/>
      <w:color w:val="4C5564"/>
      <w:sz w:val="26"/>
      <w:szCs w:val="26"/>
    </w:rPr>
  </w:style>
  <w:style w:type="character" w:customStyle="1" w:styleId="Heading5Char">
    <w:name w:val="Heading 5 Char"/>
    <w:basedOn w:val="DefaultParagraphFont"/>
    <w:link w:val="Heading5"/>
    <w:uiPriority w:val="9"/>
    <w:rsid w:val="00C36E40"/>
    <w:rPr>
      <w:rFonts w:ascii="Segoe UI Semibold" w:eastAsia="MingLiU" w:hAnsi="Segoe UI Semibold" w:cs="Segoe UI Semibold"/>
      <w:color w:val="4C5564"/>
      <w:sz w:val="21"/>
    </w:rPr>
  </w:style>
  <w:style w:type="character" w:customStyle="1" w:styleId="Heading6Char">
    <w:name w:val="Heading 6 Char"/>
    <w:basedOn w:val="DefaultParagraphFont"/>
    <w:link w:val="Heading6"/>
    <w:uiPriority w:val="9"/>
    <w:rsid w:val="00C36E40"/>
    <w:rPr>
      <w:rFonts w:ascii="Segoe UI Semibold" w:eastAsia="MingLiU" w:hAnsi="Segoe UI Semibold" w:cs="Segoe UI Semibold"/>
      <w:color w:val="4C5564"/>
      <w:sz w:val="20"/>
      <w:szCs w:val="20"/>
    </w:rPr>
  </w:style>
  <w:style w:type="character" w:customStyle="1" w:styleId="Heading7Char">
    <w:name w:val="Heading 7 Char"/>
    <w:basedOn w:val="DefaultParagraphFont"/>
    <w:link w:val="Heading7"/>
    <w:uiPriority w:val="9"/>
    <w:rsid w:val="00C36E40"/>
    <w:rPr>
      <w:rFonts w:ascii="Segoe UI Semibold" w:eastAsiaTheme="majorEastAsia" w:hAnsi="Segoe UI Semibold" w:cs="Segoe UI Semibold"/>
      <w:iCs/>
      <w:color w:val="4C5564"/>
      <w:sz w:val="18"/>
      <w:szCs w:val="18"/>
    </w:rPr>
  </w:style>
  <w:style w:type="paragraph" w:customStyle="1" w:styleId="Heading2notshowing">
    <w:name w:val="Heading 2—not showing"/>
    <w:basedOn w:val="Normal"/>
    <w:next w:val="Normal"/>
    <w:qFormat/>
    <w:rsid w:val="003D71C5"/>
    <w:pPr>
      <w:keepNext/>
      <w:spacing w:after="120"/>
      <w:outlineLvl w:val="1"/>
    </w:pPr>
    <w:rPr>
      <w:rFonts w:ascii="Segoe UI Semibold" w:eastAsia="MingLiU" w:hAnsi="Segoe UI Semibold" w:cs="Segoe UI Semibold"/>
      <w:color w:val="4C5564"/>
      <w:sz w:val="28"/>
      <w:szCs w:val="26"/>
    </w:rPr>
  </w:style>
  <w:style w:type="paragraph" w:customStyle="1" w:styleId="Heading3notshowing">
    <w:name w:val="Heading 3—not showing"/>
    <w:basedOn w:val="Normal"/>
    <w:next w:val="Normal"/>
    <w:qFormat/>
    <w:rsid w:val="00C36E40"/>
    <w:pPr>
      <w:keepNext/>
      <w:spacing w:after="120"/>
      <w:outlineLvl w:val="2"/>
    </w:pPr>
    <w:rPr>
      <w:rFonts w:ascii="Segoe UI Semibold" w:eastAsia="MingLiU" w:hAnsi="Segoe UI Semibold" w:cs="Segoe UI Semibold"/>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1F0215"/>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323710"/>
    <w:pPr>
      <w:spacing w:after="0"/>
    </w:pPr>
    <w:rPr>
      <w:rFonts w:eastAsia="Times New Roman" w:cs="Times New Roman"/>
      <w:b/>
      <w:bCs/>
      <w:color w:val="002D72"/>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E80E04"/>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1Heading">
    <w:name w:val="Box 1 Heading"/>
    <w:basedOn w:val="Normal"/>
    <w:uiPriority w:val="23"/>
    <w:qFormat/>
    <w:rsid w:val="008103F8"/>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b/>
      <w:color w:val="000000" w:themeColor="text1"/>
      <w:kern w:val="12"/>
      <w:sz w:val="22"/>
      <w:lang w:val="x-none"/>
    </w:rPr>
  </w:style>
  <w:style w:type="table" w:customStyle="1" w:styleId="DefaultTable1">
    <w:name w:val="Default Table 1"/>
    <w:basedOn w:val="TableNormal"/>
    <w:uiPriority w:val="99"/>
    <w:rsid w:val="008103F8"/>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8103F8"/>
    <w:pPr>
      <w:suppressAutoHyphens/>
      <w:spacing w:before="120" w:after="80"/>
    </w:pPr>
    <w:rPr>
      <w:rFonts w:asciiTheme="minorHAnsi" w:hAnsiTheme="minorHAnsi"/>
      <w:color w:val="000000" w:themeColor="text1"/>
      <w:kern w:val="12"/>
      <w:sz w:val="16"/>
      <w:szCs w:val="20"/>
      <w:lang w:val="x-none"/>
    </w:rPr>
  </w:style>
  <w:style w:type="paragraph" w:styleId="NormalWeb">
    <w:name w:val="Normal (Web)"/>
    <w:basedOn w:val="Normal"/>
    <w:uiPriority w:val="99"/>
    <w:unhideWhenUsed/>
    <w:rsid w:val="008103F8"/>
    <w:pPr>
      <w:spacing w:before="100" w:beforeAutospacing="1" w:after="100" w:afterAutospacing="1"/>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843EE7"/>
    <w:pPr>
      <w:widowControl w:val="0"/>
      <w:autoSpaceDE w:val="0"/>
      <w:autoSpaceDN w:val="0"/>
      <w:adjustRightInd w:val="0"/>
      <w:spacing w:after="0"/>
    </w:pPr>
    <w:rPr>
      <w:rFonts w:ascii="Muli SemiBold" w:eastAsiaTheme="minorEastAsia" w:hAnsi="Muli SemiBold" w:cs="Muli SemiBold"/>
      <w:sz w:val="16"/>
      <w:szCs w:val="16"/>
      <w:lang w:eastAsia="en-AU"/>
    </w:rPr>
  </w:style>
  <w:style w:type="character" w:customStyle="1" w:styleId="BodyTextChar">
    <w:name w:val="Body Text Char"/>
    <w:basedOn w:val="DefaultParagraphFont"/>
    <w:link w:val="BodyText"/>
    <w:uiPriority w:val="1"/>
    <w:rsid w:val="00843EE7"/>
    <w:rPr>
      <w:rFonts w:ascii="Muli SemiBold" w:eastAsiaTheme="minorEastAsia" w:hAnsi="Muli SemiBold" w:cs="Muli SemiBold"/>
      <w:sz w:val="16"/>
      <w:szCs w:val="16"/>
      <w:lang w:eastAsia="en-AU"/>
    </w:rPr>
  </w:style>
  <w:style w:type="paragraph" w:customStyle="1" w:styleId="TableParagraph">
    <w:name w:val="Table Paragraph"/>
    <w:basedOn w:val="Normal"/>
    <w:uiPriority w:val="1"/>
    <w:qFormat/>
    <w:rsid w:val="00843EE7"/>
    <w:pPr>
      <w:widowControl w:val="0"/>
      <w:autoSpaceDE w:val="0"/>
      <w:autoSpaceDN w:val="0"/>
      <w:adjustRightInd w:val="0"/>
      <w:spacing w:after="0"/>
      <w:ind w:left="223" w:hanging="114"/>
    </w:pPr>
    <w:rPr>
      <w:rFonts w:ascii="Muli Light" w:eastAsiaTheme="minorEastAsia" w:hAnsi="Muli Light" w:cs="Muli Light"/>
      <w:sz w:val="24"/>
      <w:szCs w:val="24"/>
      <w:lang w:eastAsia="en-AU"/>
    </w:rPr>
  </w:style>
  <w:style w:type="paragraph" w:styleId="Title">
    <w:name w:val="Title"/>
    <w:basedOn w:val="Normal"/>
    <w:next w:val="Normal"/>
    <w:link w:val="TitleChar"/>
    <w:uiPriority w:val="10"/>
    <w:qFormat/>
    <w:rsid w:val="00843EE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EE7"/>
    <w:pPr>
      <w:numPr>
        <w:ilvl w:val="1"/>
      </w:numPr>
      <w:spacing w:line="259"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43EE7"/>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10574"/>
    <w:pPr>
      <w:spacing w:after="0"/>
    </w:pPr>
    <w:rPr>
      <w:rFonts w:cs="Segoe UI"/>
      <w:sz w:val="18"/>
      <w:szCs w:val="18"/>
    </w:rPr>
  </w:style>
  <w:style w:type="character" w:customStyle="1" w:styleId="BalloonTextChar">
    <w:name w:val="Balloon Text Char"/>
    <w:basedOn w:val="DefaultParagraphFont"/>
    <w:link w:val="BalloonText"/>
    <w:uiPriority w:val="99"/>
    <w:semiHidden/>
    <w:rsid w:val="00610574"/>
    <w:rPr>
      <w:rFonts w:ascii="Segoe UI" w:hAnsi="Segoe UI" w:cs="Segoe UI"/>
      <w:sz w:val="18"/>
      <w:szCs w:val="18"/>
    </w:rPr>
  </w:style>
  <w:style w:type="character" w:styleId="FollowedHyperlink">
    <w:name w:val="FollowedHyperlink"/>
    <w:basedOn w:val="DefaultParagraphFont"/>
    <w:uiPriority w:val="99"/>
    <w:semiHidden/>
    <w:unhideWhenUsed/>
    <w:rsid w:val="00501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news/australian-health-protection-principal-committee-ahppc-statement-on-very-high-risk-environments" TargetMode="External"/><Relationship Id="rId18" Type="http://schemas.openxmlformats.org/officeDocument/2006/relationships/hyperlink" Target="http://www.health.gov.au/resources/collections/coronavirus-covid-19-common-operating-pictu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ealth.gov.au/resources/collections/coronavirus-covid-19-common-operating-picture" TargetMode="External"/><Relationship Id="rId7" Type="http://schemas.openxmlformats.org/officeDocument/2006/relationships/endnotes" Target="endnotes.xml"/><Relationship Id="rId12" Type="http://schemas.openxmlformats.org/officeDocument/2006/relationships/hyperlink" Target="https://www.health.gov.au/resources/collections/coronavirus-covid-19-common-operating-picture" TargetMode="External"/><Relationship Id="rId17" Type="http://schemas.openxmlformats.org/officeDocument/2006/relationships/hyperlink" Target="https://www.australia.gov.au/framework-national-reopening"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health.gov.au/resources/collections/coronavirus-covid-19-common-operating-picture" TargetMode="External"/><Relationship Id="rId20" Type="http://schemas.openxmlformats.org/officeDocument/2006/relationships/hyperlink" Target="https://www.australia.gov.au/framework-national-reope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tralia.gov.au/framework-national-reopening" TargetMode="External"/><Relationship Id="rId24" Type="http://schemas.openxmlformats.org/officeDocument/2006/relationships/hyperlink" Target="https://www.health.gov.au/resources/publications/framework-for-national-reopening-october-2020" TargetMode="External"/><Relationship Id="rId5" Type="http://schemas.openxmlformats.org/officeDocument/2006/relationships/webSettings" Target="webSettings.xml"/><Relationship Id="rId15" Type="http://schemas.openxmlformats.org/officeDocument/2006/relationships/hyperlink" Target="http://www.australia.gov.au/framework-national-reopening" TargetMode="External"/><Relationship Id="rId23" Type="http://schemas.openxmlformats.org/officeDocument/2006/relationships/hyperlink" Target="https://www.health.gov.au/news/australian-health-protection-principal-committee-ahppc-statement-on-very-high-risk-social-environments" TargetMode="External"/><Relationship Id="rId10" Type="http://schemas.openxmlformats.org/officeDocument/2006/relationships/image" Target="media/image1.png"/><Relationship Id="rId19" Type="http://schemas.openxmlformats.org/officeDocument/2006/relationships/hyperlink" Target="https://www.safeworkaustralia.gov.au/covid-19-information-workplaces/industry-information/live-entertainmen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ealthdirect.gov.au/covid19-restriction-checker" TargetMode="External"/><Relationship Id="rId22" Type="http://schemas.openxmlformats.org/officeDocument/2006/relationships/hyperlink" Target="https://www.safeworkaustralia.gov.au/covid-19-information-workplaces/industry-information/live-entertainmen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arts--document--accessible--10november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FB55-A136-474B-AC40-64B06EFC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arts--document--accessible--10november2020.dotx</Template>
  <TotalTime>5</TotalTime>
  <Pages>6</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Roadmap for reactivating live performance venues and events</vt:lpstr>
    </vt:vector>
  </TitlesOfParts>
  <Company>Department of Infrastructure, Transport, Regional Development and Communications</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for reactivating live performance venues and events</dc:title>
  <dc:subject/>
  <dc:creator>Department of Infrastructure, Transport, Regional Development and Communications</dc:creator>
  <cp:keywords/>
  <dc:description>10 November 2020</dc:description>
  <cp:lastModifiedBy>Hall, Theresa</cp:lastModifiedBy>
  <cp:revision>4</cp:revision>
  <dcterms:created xsi:type="dcterms:W3CDTF">2020-11-17T06:24:00Z</dcterms:created>
  <dcterms:modified xsi:type="dcterms:W3CDTF">2020-11-17T06:28:00Z</dcterms:modified>
</cp:coreProperties>
</file>